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79B1C3"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0" w:firstLineChars="0"/>
        <w:rPr>
          <w:rFonts w:hint="eastAsia" w:ascii="Times New Roman" w:hAnsi="Times New Roman" w:eastAsia="方正黑体_GBK" w:cs="Times New Roman"/>
          <w:b w:val="0"/>
          <w:bCs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b w:val="0"/>
          <w:bCs/>
          <w:color w:val="000000"/>
          <w:spacing w:val="0"/>
          <w:kern w:val="2"/>
          <w:sz w:val="32"/>
          <w:szCs w:val="32"/>
          <w:lang w:val="en-US" w:eastAsia="zh-CN" w:bidi="ar-SA"/>
        </w:rPr>
        <w:t>附件1</w:t>
      </w:r>
    </w:p>
    <w:p w14:paraId="491EF022"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0" w:firstLineChars="0"/>
        <w:rPr>
          <w:rFonts w:hint="eastAsia" w:ascii="Times New Roman" w:hAnsi="Times New Roman" w:eastAsia="方正黑体_GBK" w:cs="Times New Roman"/>
          <w:b w:val="0"/>
          <w:bCs/>
          <w:color w:val="000000"/>
          <w:spacing w:val="0"/>
          <w:kern w:val="2"/>
          <w:sz w:val="32"/>
          <w:szCs w:val="32"/>
          <w:lang w:val="en-US" w:eastAsia="zh-CN" w:bidi="ar-SA"/>
        </w:rPr>
      </w:pPr>
    </w:p>
    <w:p w14:paraId="4FECD3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44"/>
          <w:szCs w:val="44"/>
          <w:lang w:val="en-US" w:eastAsia="zh-CN" w:bidi="ar-SA"/>
        </w:rPr>
        <w:t>安徽省科技创新券管理办法（试行）</w:t>
      </w:r>
    </w:p>
    <w:p w14:paraId="682FED99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/>
        <w:textAlignment w:val="auto"/>
        <w:rPr>
          <w:rFonts w:hint="default" w:ascii="Times New Roman" w:hAnsi="Times New Roman" w:cs="Times New Roman"/>
          <w:color w:val="auto"/>
          <w:spacing w:val="0"/>
          <w:lang w:eastAsia="zh-CN"/>
        </w:rPr>
      </w:pPr>
    </w:p>
    <w:p w14:paraId="4670B8B4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/>
        <w:textAlignment w:val="auto"/>
        <w:rPr>
          <w:rFonts w:hint="default" w:ascii="Times New Roman" w:hAnsi="Times New Roman" w:eastAsia="黑体" w:cs="Times New Roman"/>
          <w:b w:val="0"/>
          <w:color w:val="auto"/>
          <w:spacing w:val="0"/>
          <w:lang w:val="en-US" w:eastAsia="zh-CN"/>
        </w:rPr>
      </w:pPr>
      <w:r>
        <w:rPr>
          <w:rFonts w:hint="default" w:ascii="Times New Roman" w:hAnsi="Times New Roman" w:cs="Times New Roman"/>
          <w:color w:val="auto"/>
          <w:spacing w:val="0"/>
          <w:lang w:eastAsia="zh-CN"/>
        </w:rPr>
        <w:t xml:space="preserve">第一章 </w:t>
      </w:r>
      <w:r>
        <w:rPr>
          <w:rFonts w:ascii="Times New Roman" w:hAnsi="Times New Roman" w:cs="Times New Roman"/>
          <w:color w:val="auto"/>
          <w:spacing w:val="0"/>
        </w:rPr>
        <w:t>总</w:t>
      </w:r>
      <w:r>
        <w:rPr>
          <w:rFonts w:hint="default" w:ascii="Times New Roman" w:hAnsi="Times New Roman" w:cs="Times New Roman"/>
          <w:color w:val="auto"/>
          <w:spacing w:val="0"/>
          <w:lang w:val="en-US" w:eastAsia="zh-CN"/>
        </w:rPr>
        <w:t xml:space="preserve">  </w:t>
      </w:r>
      <w:r>
        <w:rPr>
          <w:rFonts w:ascii="Times New Roman" w:hAnsi="Times New Roman" w:cs="Times New Roman"/>
          <w:color w:val="auto"/>
          <w:spacing w:val="0"/>
        </w:rPr>
        <w:t>则</w:t>
      </w:r>
    </w:p>
    <w:p w14:paraId="49A946A1">
      <w:pPr>
        <w:keepNext w:val="0"/>
        <w:keepLines w:val="0"/>
        <w:pageBreakBefore w:val="0"/>
        <w:widowControl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kern w:val="2"/>
          <w:sz w:val="32"/>
          <w:szCs w:val="32"/>
          <w:lang w:val="en-US" w:eastAsia="zh-CN" w:bidi="ar-SA"/>
        </w:rPr>
        <w:t>第一条</w:t>
      </w:r>
      <w:r>
        <w:rPr>
          <w:rFonts w:hint="eastAsia" w:ascii="方正黑体_GBK" w:hAnsi="方正黑体_GBK" w:eastAsia="方正黑体_GBK" w:cs="方正黑体_GBK"/>
          <w:bCs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为充分发挥科技创新券的引导作用，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进一步优化财政资助方式，推动科技资源开放共享，激发中小企业创新活力，促进科技服务业高质量发展，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推动“政产学研金服用”融合协同，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营造良好创新创业生态，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结合本省实际，制定本办法。</w:t>
      </w:r>
    </w:p>
    <w:p w14:paraId="48986F98">
      <w:pPr>
        <w:keepNext w:val="0"/>
        <w:keepLines w:val="0"/>
        <w:pageBreakBefore w:val="0"/>
        <w:widowControl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b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kern w:val="2"/>
          <w:sz w:val="32"/>
          <w:szCs w:val="32"/>
          <w:lang w:val="en-US" w:eastAsia="zh-CN" w:bidi="ar-SA"/>
        </w:rPr>
        <w:t>第二条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本办法所称安徽省科技创新券（以下简称“创新券”），是指利用财政资金通过后补助方式</w:t>
      </w:r>
      <w:r>
        <w:rPr>
          <w:rFonts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，支持符合条件的科技型企业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向高校、科研院所、创新平台等有资质的服务机构（以下简称“服务机构”）购买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科技创新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服务的一种政策工具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。</w:t>
      </w:r>
    </w:p>
    <w:p w14:paraId="6B0041D1">
      <w:pPr>
        <w:keepNext w:val="0"/>
        <w:keepLines w:val="0"/>
        <w:pageBreakBefore w:val="0"/>
        <w:widowControl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kern w:val="2"/>
          <w:sz w:val="32"/>
          <w:szCs w:val="32"/>
          <w:lang w:val="en-US" w:eastAsia="zh-CN" w:bidi="ar-SA"/>
        </w:rPr>
        <w:t>第三条</w:t>
      </w:r>
      <w:r>
        <w:rPr>
          <w:rFonts w:hint="eastAsia" w:ascii="方正黑体_GBK" w:hAnsi="方正黑体_GBK" w:eastAsia="方正黑体_GBK" w:cs="方正黑体_GBK"/>
          <w:bCs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创新券</w:t>
      </w:r>
      <w:r>
        <w:rPr>
          <w:rFonts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实行即申即用、事后补助、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总量控制</w:t>
      </w:r>
      <w:r>
        <w:rPr>
          <w:rFonts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的支持方式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鼓励各市安排专门资金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w w:val="100"/>
          <w:kern w:val="2"/>
          <w:position w:val="0"/>
          <w:sz w:val="32"/>
          <w:szCs w:val="32"/>
          <w:shd w:val="clear" w:color="auto" w:fill="FFFFFF"/>
          <w:lang w:val="en-US" w:eastAsia="zh-CN" w:bidi="ar-SA"/>
        </w:rPr>
        <w:t>设立地方创新券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w w:val="100"/>
          <w:kern w:val="2"/>
          <w:position w:val="0"/>
          <w:sz w:val="32"/>
          <w:szCs w:val="32"/>
          <w:shd w:val="clear" w:color="auto" w:fill="FFFFFF"/>
          <w:lang w:val="en-US" w:eastAsia="zh-CN" w:bidi="ar-SA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w w:val="100"/>
          <w:kern w:val="2"/>
          <w:position w:val="0"/>
          <w:sz w:val="32"/>
          <w:szCs w:val="32"/>
          <w:shd w:val="clear" w:color="auto" w:fill="FFFFFF"/>
          <w:lang w:val="en-US" w:eastAsia="zh-CN" w:bidi="ar-SA"/>
        </w:rPr>
        <w:t>加大对科技型企业科技创新的支持力度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。</w:t>
      </w:r>
    </w:p>
    <w:p w14:paraId="1B15A99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left="0" w:right="0" w:firstLine="640" w:firstLineChars="200"/>
        <w:jc w:val="both"/>
        <w:outlineLvl w:val="9"/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 xml:space="preserve">第四条 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 xml:space="preserve"> 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推动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与长三角区域其他省市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开展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创新券通用，</w:t>
      </w:r>
      <w:r>
        <w:rPr>
          <w:rFonts w:ascii="Times New Roman" w:hAnsi="Times New Roman" w:eastAsia="方正仿宋_GBK"/>
          <w:color w:val="000000"/>
          <w:sz w:val="32"/>
          <w:szCs w:val="32"/>
        </w:rPr>
        <w:t>促进长三角科技资源开放共享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。</w:t>
      </w:r>
    </w:p>
    <w:p w14:paraId="3E5D3F38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/>
        <w:textAlignment w:val="auto"/>
        <w:rPr>
          <w:rFonts w:hint="default" w:ascii="Times New Roman" w:hAnsi="Times New Roman" w:cs="Times New Roman"/>
          <w:color w:val="auto"/>
          <w:spacing w:val="0"/>
          <w:lang w:eastAsia="zh-CN"/>
        </w:rPr>
      </w:pPr>
    </w:p>
    <w:p w14:paraId="27C54E55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/>
        <w:textAlignment w:val="auto"/>
        <w:rPr>
          <w:rFonts w:hint="default" w:ascii="Times New Roman" w:hAnsi="Times New Roman" w:cs="Times New Roman"/>
          <w:b w:val="0"/>
          <w:color w:val="auto"/>
          <w:spacing w:val="0"/>
          <w:lang w:eastAsia="zh-CN"/>
        </w:rPr>
      </w:pPr>
      <w:r>
        <w:rPr>
          <w:rFonts w:hint="default" w:ascii="Times New Roman" w:hAnsi="Times New Roman" w:cs="Times New Roman"/>
          <w:color w:val="auto"/>
          <w:spacing w:val="0"/>
          <w:lang w:eastAsia="zh-CN"/>
        </w:rPr>
        <w:t>第二章 机构与职责</w:t>
      </w:r>
    </w:p>
    <w:p w14:paraId="642923A2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0" w:firstLineChars="200"/>
        <w:jc w:val="left"/>
        <w:textAlignment w:val="baseline"/>
        <w:outlineLvl w:val="9"/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kern w:val="2"/>
          <w:sz w:val="32"/>
          <w:szCs w:val="32"/>
          <w:lang w:val="en-US" w:eastAsia="zh-CN" w:bidi="ar-SA"/>
        </w:rPr>
        <w:t>第五条</w:t>
      </w:r>
      <w:r>
        <w:rPr>
          <w:rFonts w:hint="eastAsia" w:ascii="方正黑体_GBK" w:hAnsi="方正黑体_GBK" w:eastAsia="方正黑体_GBK" w:cs="方正黑体_GBK"/>
          <w:bCs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创新券由省科技厅、省财政厅共同管理。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省科技厅负责创新券资金管理和监督、</w:t>
      </w:r>
      <w:r>
        <w:rPr>
          <w:rFonts w:hint="eastAsia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服务平台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开发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、宣传培训等工作。省财政厅负责统筹</w:t>
      </w:r>
      <w:r>
        <w:rPr>
          <w:rFonts w:hint="eastAsia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安排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创新券资金，对资金使用和管理情况进行监督。</w:t>
      </w:r>
    </w:p>
    <w:p w14:paraId="0E46FD36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outlineLvl w:val="9"/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第六条</w:t>
      </w:r>
      <w:r>
        <w:rPr>
          <w:rFonts w:hint="eastAsia" w:ascii="方正黑体_GBK" w:hAnsi="方正黑体_GBK" w:eastAsia="方正黑体_GBK" w:cs="方正黑体_GBK"/>
          <w:bCs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 xml:space="preserve"> 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 xml:space="preserve"> 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省科技厅委托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省高新技术发展中心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作为创新券实施机构（以下简称“实施机构”），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依托</w:t>
      </w:r>
      <w:r>
        <w:rPr>
          <w:rFonts w:hint="eastAsia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省科技大脑（“省科技创新券”模块，以下简称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服务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平台</w:t>
      </w:r>
      <w:r>
        <w:rPr>
          <w:rFonts w:hint="eastAsia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）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开展与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创新券发放、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领取、使用和兑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付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相关的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具体工作。</w:t>
      </w:r>
    </w:p>
    <w:p w14:paraId="16BF8172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bidi w:val="0"/>
        <w:spacing w:line="590" w:lineRule="exact"/>
        <w:ind w:left="0" w:right="0" w:firstLine="640" w:firstLineChars="200"/>
        <w:jc w:val="both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第七条</w:t>
      </w:r>
      <w:r>
        <w:rPr>
          <w:rFonts w:hint="eastAsia" w:ascii="方正黑体_GBK" w:hAnsi="方正黑体_GBK" w:eastAsia="方正黑体_GBK" w:cs="方正黑体_GBK"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>各市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科技主管部门</w:t>
      </w:r>
      <w:r>
        <w:rPr>
          <w:rFonts w:hint="eastAsia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是本区域内创新券工作的主管部门，要履行属地主体责任，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>负责组织本区域内企业的申请、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lang w:eastAsia="zh-CN"/>
        </w:rPr>
        <w:t>审核、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>推荐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lang w:eastAsia="zh-CN"/>
        </w:rPr>
        <w:t>和服务机构的审核入库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highlight w:val="none"/>
          <w:lang w:eastAsia="zh-CN"/>
        </w:rPr>
        <w:t>以及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highlight w:val="none"/>
        </w:rPr>
        <w:t>开展相关宣传培训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highlight w:val="none"/>
          <w:lang w:eastAsia="zh-CN"/>
        </w:rPr>
        <w:t>等工作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highlight w:val="none"/>
        </w:rPr>
        <w:t>。</w:t>
      </w:r>
    </w:p>
    <w:p w14:paraId="17B44D68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bidi w:val="0"/>
        <w:spacing w:line="590" w:lineRule="exact"/>
        <w:ind w:left="0" w:right="0" w:firstLine="640" w:firstLineChars="200"/>
        <w:jc w:val="both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w w:val="100"/>
          <w:position w:val="0"/>
          <w:sz w:val="32"/>
          <w:szCs w:val="32"/>
        </w:rPr>
        <w:t>第</w:t>
      </w: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八</w:t>
      </w: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w w:val="100"/>
          <w:position w:val="0"/>
          <w:sz w:val="32"/>
          <w:szCs w:val="32"/>
        </w:rPr>
        <w:t>条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>企业和服务机构依法依规开展创新券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lang w:val="en-US" w:eastAsia="zh-CN"/>
        </w:rPr>
        <w:t>兑付和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>服务活动，不得泄露创新券有关各方商业机密，不得侵害创新券有关各方合法权益。</w:t>
      </w:r>
    </w:p>
    <w:p w14:paraId="31AA44E4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bidi w:val="0"/>
        <w:spacing w:line="590" w:lineRule="exact"/>
        <w:ind w:firstLine="640" w:firstLineChars="200"/>
        <w:jc w:val="center"/>
        <w:outlineLvl w:val="9"/>
        <w:rPr>
          <w:rFonts w:hint="default" w:ascii="Times New Roman" w:hAnsi="Times New Roman" w:eastAsia="方正黑体_GBK" w:cs="Times New Roman"/>
          <w:color w:val="auto"/>
          <w:spacing w:val="0"/>
          <w:sz w:val="32"/>
          <w:szCs w:val="32"/>
          <w:lang w:eastAsia="zh-CN"/>
        </w:rPr>
      </w:pPr>
    </w:p>
    <w:p w14:paraId="60FE445F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bidi w:val="0"/>
        <w:spacing w:line="590" w:lineRule="exact"/>
        <w:ind w:firstLine="640" w:firstLineChars="200"/>
        <w:jc w:val="center"/>
        <w:outlineLvl w:val="9"/>
        <w:rPr>
          <w:rFonts w:hint="default" w:ascii="Times New Roman" w:hAnsi="Times New Roman" w:eastAsia="方正黑体_GBK" w:cs="Times New Roman"/>
          <w:b w:val="0"/>
          <w:color w:val="auto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color w:val="auto"/>
          <w:spacing w:val="0"/>
          <w:sz w:val="32"/>
          <w:szCs w:val="32"/>
          <w:lang w:eastAsia="zh-CN"/>
        </w:rPr>
        <w:t>第三章 对象与范围</w:t>
      </w:r>
    </w:p>
    <w:p w14:paraId="07143ADB">
      <w:pPr>
        <w:keepNext w:val="0"/>
        <w:keepLines w:val="0"/>
        <w:pageBreakBefore w:val="0"/>
        <w:widowControl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kern w:val="2"/>
          <w:sz w:val="32"/>
          <w:szCs w:val="32"/>
          <w:lang w:val="en-US" w:eastAsia="zh-CN" w:bidi="ar-SA"/>
        </w:rPr>
        <w:t>第九条</w:t>
      </w:r>
      <w:r>
        <w:rPr>
          <w:rFonts w:hint="eastAsia" w:ascii="方正黑体_GBK" w:hAnsi="方正黑体_GBK" w:eastAsia="方正黑体_GBK" w:cs="方正黑体_GBK"/>
          <w:bCs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申请和使用创新券的企业须在省内注册，且不处于严重失信联合惩戒期内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并满足以下条件之一：</w:t>
      </w:r>
    </w:p>
    <w:p w14:paraId="7148E083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jc w:val="both"/>
        <w:textAlignment w:val="auto"/>
        <w:rPr>
          <w:rFonts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上年度或本年度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全国科技型中小企业信息库入库企业；</w:t>
      </w:r>
    </w:p>
    <w:p w14:paraId="31F06C85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jc w:val="both"/>
        <w:textAlignment w:val="auto"/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2.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有效期内高新技术企业，且上一年度销售收入不超过2亿元；</w:t>
      </w:r>
    </w:p>
    <w:p w14:paraId="2E81DE58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3.独角兽（潜在）企业；</w:t>
      </w:r>
    </w:p>
    <w:p w14:paraId="5CAE7C80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jc w:val="both"/>
        <w:textAlignment w:val="auto"/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4.省（市）级高层次科技团队企业、职务科技成果赋权成立</w:t>
      </w:r>
      <w:r>
        <w:rPr>
          <w:rFonts w:hint="eastAsia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入股</w:t>
      </w:r>
      <w:r>
        <w:rPr>
          <w:rFonts w:hint="eastAsia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）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企业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。</w:t>
      </w:r>
    </w:p>
    <w:p w14:paraId="43226817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kern w:val="2"/>
          <w:sz w:val="32"/>
          <w:szCs w:val="32"/>
          <w:lang w:val="en-US" w:eastAsia="zh-CN" w:bidi="ar-SA"/>
        </w:rPr>
        <w:t>第十条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开展创新券工作的服务机构须在服务平台备案入库。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服务机构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入库分为直接入库与审核入库两种方式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：</w:t>
      </w:r>
    </w:p>
    <w:p w14:paraId="793C2347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（一）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直接入库：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</w:rPr>
        <w:t>中央在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  <w:lang w:eastAsia="zh-CN"/>
        </w:rPr>
        <w:t>皖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</w:rPr>
        <w:t>各高校及科研院所、市级及以上公办高校及事业单位性质的科研院所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沪苏浙已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列入长三角创新券通用通兑名录的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高校及科研院所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。</w:t>
      </w:r>
    </w:p>
    <w:p w14:paraId="255DB6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right="0" w:firstLine="640" w:firstLineChars="200"/>
        <w:jc w:val="both"/>
        <w:textAlignment w:val="baseline"/>
        <w:outlineLvl w:val="9"/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（二）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审核入库：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其他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服务机构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按照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自愿申请、择优选定的原则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确定入库资格。由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各市科技主管部门对所辖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服务机构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申报材料进行审核、公示，纳入服务机构库后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对外开展相关科技创新服务。服务机构在线提交申报材料，应当具备与服务内容相对应的资质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：</w:t>
      </w:r>
    </w:p>
    <w:p w14:paraId="7EAF3E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1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开展工业产品研发、工艺设计与服务、集成电路设计、新技术委托开发、中试及工程化开发服务等研发服务的，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highlight w:val="none"/>
          <w:lang w:val="en-US" w:eastAsia="zh-CN" w:bidi="ar-SA"/>
        </w:rPr>
        <w:t>应是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highlight w:val="none"/>
          <w:lang w:val="en-US" w:eastAsia="zh-CN" w:bidi="ar-SA"/>
        </w:rPr>
        <w:t>市级及以上新型研发机构或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highlight w:val="none"/>
          <w:lang w:val="en-US" w:eastAsia="zh-CN" w:bidi="ar-SA"/>
        </w:rPr>
        <w:t>拥有市级及以上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highlight w:val="none"/>
          <w:lang w:val="en-US" w:eastAsia="zh-CN" w:bidi="ar-SA"/>
        </w:rPr>
        <w:t>概念验证中心、中试基地的机构，国家级、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  <w:lang w:eastAsia="zh-CN"/>
        </w:rPr>
        <w:t>省部级科创平台序列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highlight w:val="none"/>
          <w:lang w:val="en-US" w:eastAsia="zh-CN" w:bidi="ar-SA"/>
        </w:rPr>
        <w:t>的机构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。</w:t>
      </w:r>
    </w:p>
    <w:p w14:paraId="25857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2.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开展大型科学仪器设施共享服务的，应是已加盟到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highlight w:val="none"/>
          <w:lang w:val="en-US" w:eastAsia="zh-CN" w:bidi="ar-SA"/>
        </w:rPr>
        <w:t>省级及以上科研设施与仪器共享服务平台的服务机构。</w:t>
      </w:r>
    </w:p>
    <w:p w14:paraId="3C39B3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3.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开展检验检测服务的，应具有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国家相关检验检测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资质。</w:t>
      </w:r>
    </w:p>
    <w:p w14:paraId="7D651841">
      <w:pPr>
        <w:keepNext w:val="0"/>
        <w:keepLines w:val="0"/>
        <w:pageBreakBefore w:val="0"/>
        <w:widowControl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b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kern w:val="2"/>
          <w:sz w:val="32"/>
          <w:szCs w:val="32"/>
          <w:lang w:val="en-US" w:eastAsia="zh-CN" w:bidi="ar-SA"/>
        </w:rPr>
        <w:t>第十一条</w:t>
      </w:r>
      <w:r>
        <w:rPr>
          <w:rFonts w:hint="eastAsia" w:ascii="方正黑体_GBK" w:hAnsi="方正黑体_GBK" w:eastAsia="方正黑体_GBK" w:cs="方正黑体_GBK"/>
          <w:bCs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创新券用于支持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企业开展研发创新项目过程中，购买的研发服务、大型科学仪器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与重大科技基础设施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共享、检验检测等科技创新服务。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主要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包括：</w:t>
      </w:r>
    </w:p>
    <w:p w14:paraId="67E6F2B3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（一）研发服务</w:t>
      </w:r>
      <w:r>
        <w:rPr>
          <w:rFonts w:hint="default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：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工业产品研发、工艺设计与服务、集成电路设计、新技术委托开发、中试及工程化开发服务等；</w:t>
      </w:r>
    </w:p>
    <w:p w14:paraId="70C2CD4B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（二）大型科学仪器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与重大科技基础设施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共享</w:t>
      </w:r>
      <w:r>
        <w:rPr>
          <w:rFonts w:hint="default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：</w:t>
      </w:r>
      <w:r>
        <w:rPr>
          <w:rFonts w:hint="eastAsia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科研实验、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委托分析、测试服务、委托实验、验证服务等；</w:t>
      </w:r>
    </w:p>
    <w:p w14:paraId="532C8D9F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（三）检验检测</w:t>
      </w:r>
      <w:r>
        <w:rPr>
          <w:rFonts w:hint="default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：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产品性能测试、材料性能测试、指标测试、标准系统定制、软件测评、集成电路封装测试等。</w:t>
      </w:r>
    </w:p>
    <w:p w14:paraId="37F600FF">
      <w:pPr>
        <w:keepNext w:val="0"/>
        <w:keepLines w:val="0"/>
        <w:pageBreakBefore w:val="0"/>
        <w:widowControl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b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kern w:val="2"/>
          <w:sz w:val="32"/>
          <w:szCs w:val="32"/>
          <w:lang w:val="en-US" w:eastAsia="zh-CN" w:bidi="ar-SA"/>
        </w:rPr>
        <w:t>第十二条</w:t>
      </w:r>
      <w:r>
        <w:rPr>
          <w:rFonts w:hint="eastAsia" w:ascii="方正黑体_GBK" w:hAnsi="方正黑体_GBK" w:eastAsia="方正黑体_GBK" w:cs="方正黑体_GBK"/>
          <w:bCs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下列情</w:t>
      </w:r>
      <w:r>
        <w:rPr>
          <w:rFonts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况不属于创新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券支持范围：</w:t>
      </w:r>
    </w:p>
    <w:p w14:paraId="245A3F4C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（一）</w:t>
      </w:r>
      <w:r>
        <w:rPr>
          <w:rFonts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按照法律法规或者强制性标准要求开展的强制检测、法定检测以及生产性常规检测、批量检测、产品质量抽检、环境检测等非科技创新项目；</w:t>
      </w:r>
    </w:p>
    <w:p w14:paraId="5EC07F08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（二）</w:t>
      </w:r>
      <w:r>
        <w:rPr>
          <w:rFonts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企业购买的</w:t>
      </w:r>
      <w:r>
        <w:rPr>
          <w:rFonts w:hint="eastAsia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科技创新</w:t>
      </w:r>
      <w:r>
        <w:rPr>
          <w:rFonts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服务与其开展的科技创新项目无直接相关性；</w:t>
      </w:r>
    </w:p>
    <w:p w14:paraId="063390CD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（三）</w:t>
      </w:r>
      <w:r>
        <w:rPr>
          <w:rFonts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企业与开展合作的服务机构</w:t>
      </w:r>
      <w:r>
        <w:rPr>
          <w:rFonts w:hint="eastAsia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存在隶属、产权纽带等关联关系</w:t>
      </w:r>
      <w:r>
        <w:rPr>
          <w:rFonts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；</w:t>
      </w:r>
    </w:p>
    <w:p w14:paraId="26698CE0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jc w:val="both"/>
        <w:textAlignment w:val="auto"/>
        <w:rPr>
          <w:rFonts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（四）</w:t>
      </w:r>
      <w:r>
        <w:rPr>
          <w:rFonts w:ascii="Times New Roman" w:hAnsi="Times New Roman" w:eastAsia="方正仿宋_GBK" w:cs="Times New Roman"/>
          <w:b w:val="0"/>
          <w:color w:val="auto"/>
          <w:spacing w:val="0"/>
          <w:kern w:val="2"/>
          <w:sz w:val="32"/>
          <w:szCs w:val="32"/>
          <w:lang w:val="en-US" w:eastAsia="zh-CN" w:bidi="ar-SA"/>
        </w:rPr>
        <w:t>非企业直接购买的服务，即由第三方接单后转包给服务机构的服务。</w:t>
      </w:r>
    </w:p>
    <w:p w14:paraId="49FBDF6B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/>
        <w:textAlignment w:val="auto"/>
        <w:rPr>
          <w:rFonts w:hint="default" w:ascii="Times New Roman" w:hAnsi="Times New Roman" w:cs="Times New Roman"/>
          <w:color w:val="auto"/>
          <w:spacing w:val="0"/>
          <w:lang w:eastAsia="zh-CN"/>
        </w:rPr>
      </w:pPr>
    </w:p>
    <w:p w14:paraId="3807FB83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/>
        <w:textAlignment w:val="auto"/>
        <w:rPr>
          <w:rFonts w:hint="default" w:ascii="Times New Roman" w:hAnsi="Times New Roman" w:cs="Times New Roman"/>
          <w:color w:val="auto"/>
          <w:spacing w:val="0"/>
          <w:lang w:val="en-US" w:eastAsia="zh-CN"/>
        </w:rPr>
      </w:pPr>
      <w:r>
        <w:rPr>
          <w:rFonts w:hint="default" w:ascii="Times New Roman" w:hAnsi="Times New Roman" w:cs="Times New Roman"/>
          <w:color w:val="auto"/>
          <w:spacing w:val="0"/>
          <w:lang w:eastAsia="zh-CN"/>
        </w:rPr>
        <w:t>第</w:t>
      </w:r>
      <w:r>
        <w:rPr>
          <w:rFonts w:hint="default" w:ascii="Times New Roman" w:hAnsi="Times New Roman" w:cs="Times New Roman"/>
          <w:color w:val="auto"/>
          <w:spacing w:val="0"/>
          <w:lang w:val="en-US" w:eastAsia="zh-CN"/>
        </w:rPr>
        <w:t>四</w:t>
      </w:r>
      <w:r>
        <w:rPr>
          <w:rFonts w:hint="default" w:ascii="Times New Roman" w:hAnsi="Times New Roman" w:cs="Times New Roman"/>
          <w:color w:val="auto"/>
          <w:spacing w:val="0"/>
          <w:lang w:eastAsia="zh-CN"/>
        </w:rPr>
        <w:t xml:space="preserve">章 </w:t>
      </w:r>
      <w:r>
        <w:rPr>
          <w:rFonts w:hint="default" w:ascii="Times New Roman" w:hAnsi="Times New Roman" w:cs="Times New Roman"/>
          <w:color w:val="auto"/>
          <w:spacing w:val="0"/>
          <w:lang w:val="en-US" w:eastAsia="zh-CN"/>
        </w:rPr>
        <w:t>发放</w:t>
      </w:r>
      <w:r>
        <w:rPr>
          <w:rFonts w:hint="default" w:ascii="Times New Roman" w:hAnsi="Times New Roman" w:cs="Times New Roman"/>
          <w:color w:val="auto"/>
          <w:spacing w:val="0"/>
          <w:lang w:eastAsia="zh-CN"/>
        </w:rPr>
        <w:t>与</w:t>
      </w:r>
      <w:r>
        <w:rPr>
          <w:rFonts w:hint="default" w:ascii="Times New Roman" w:hAnsi="Times New Roman" w:cs="Times New Roman"/>
          <w:color w:val="auto"/>
          <w:spacing w:val="0"/>
          <w:lang w:val="en-US" w:eastAsia="zh-CN"/>
        </w:rPr>
        <w:t>兑现</w:t>
      </w:r>
    </w:p>
    <w:p w14:paraId="69634CE7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w w:val="100"/>
          <w:position w:val="0"/>
          <w:sz w:val="32"/>
          <w:szCs w:val="32"/>
        </w:rPr>
        <w:t>第十</w:t>
      </w: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三</w:t>
      </w: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w w:val="100"/>
          <w:position w:val="0"/>
          <w:sz w:val="32"/>
          <w:szCs w:val="32"/>
        </w:rPr>
        <w:t>条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>企业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须在服务平台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>进行注册，注册时应提交企业营业执照副本、法定代表人身份证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lang w:eastAsia="zh-CN"/>
        </w:rPr>
        <w:t>及信用承诺书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>。</w:t>
      </w:r>
    </w:p>
    <w:p w14:paraId="09787C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 xml:space="preserve">第十四条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 xml:space="preserve"> 企业根据科技创新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项目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需要，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在服务平台领取所在年度创新券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选择服务项目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后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，通过线下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方式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联系服务机构购买服务。</w:t>
      </w:r>
    </w:p>
    <w:p w14:paraId="724F85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第十五条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 xml:space="preserve"> 服务完成后，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企业在线提交兑付申请，上传服务合同、服务结果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交易发票、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银行支付凭证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等兑付申请材料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，发票总金额和银行回单总金额须保持一致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。服务结果包括服务过程证明文件和取得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的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实质性成果文件，并加盖企业和服务机构公章。所在年度的创新券只能用于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兑付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当年付款的服务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 w14:paraId="18AB5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 xml:space="preserve">第十六条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 xml:space="preserve"> 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创新券兑付金额按不超过单笔服务合同实际支付金额的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3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0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%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核定。每家企业每年累计兑付总额不超过20万元，兑付资金精确到千元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。原则上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企业在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使用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创新券年度</w:t>
      </w:r>
      <w:r>
        <w:rPr>
          <w:rFonts w:hint="eastAsia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累计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兑付金额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须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达到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1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万元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以上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，不足1万元的不予兑付。</w:t>
      </w:r>
    </w:p>
    <w:p w14:paraId="328D4B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第十七条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各市科技主管部门对所辖企业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信用状况、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兑付申请材料的真实性、完整性和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合规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性进行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审核，并按要求将审核情况及创新券兑付建议盖章报省科技厅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。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实施机构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组织专家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专业机构对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各市科技主管部门审核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通过的兑付申请材料进行审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查。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审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查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通过并经省科技厅信用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复核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、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会议集体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研究通过后，在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省科技厅门户网站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上公示创新券兑付清单，公示期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不少于7个自然日。公示无异议，按程序将兑付资金拨付至企业。</w:t>
      </w:r>
    </w:p>
    <w:p w14:paraId="7AB37BFA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/>
        <w:textAlignment w:val="auto"/>
        <w:rPr>
          <w:rFonts w:hint="default" w:ascii="Times New Roman" w:hAnsi="Times New Roman" w:cs="Times New Roman"/>
          <w:color w:val="auto"/>
          <w:spacing w:val="0"/>
          <w:lang w:eastAsia="zh-CN"/>
        </w:rPr>
      </w:pPr>
    </w:p>
    <w:p w14:paraId="3479FC8F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/>
        <w:textAlignment w:val="auto"/>
        <w:rPr>
          <w:rFonts w:hint="default" w:ascii="Times New Roman" w:hAnsi="Times New Roman" w:cs="Times New Roman"/>
          <w:b w:val="0"/>
          <w:color w:val="auto"/>
          <w:spacing w:val="0"/>
          <w:lang w:eastAsia="zh-CN"/>
        </w:rPr>
      </w:pPr>
      <w:r>
        <w:rPr>
          <w:rFonts w:hint="default" w:ascii="Times New Roman" w:hAnsi="Times New Roman" w:cs="Times New Roman"/>
          <w:color w:val="auto"/>
          <w:spacing w:val="0"/>
          <w:lang w:eastAsia="zh-CN"/>
        </w:rPr>
        <w:t>第</w:t>
      </w:r>
      <w:r>
        <w:rPr>
          <w:rFonts w:hint="default" w:ascii="Times New Roman" w:hAnsi="Times New Roman" w:cs="Times New Roman"/>
          <w:color w:val="auto"/>
          <w:spacing w:val="0"/>
          <w:lang w:val="en-US" w:eastAsia="zh-CN"/>
        </w:rPr>
        <w:t>五</w:t>
      </w:r>
      <w:r>
        <w:rPr>
          <w:rFonts w:hint="default" w:ascii="Times New Roman" w:hAnsi="Times New Roman" w:cs="Times New Roman"/>
          <w:color w:val="auto"/>
          <w:spacing w:val="0"/>
          <w:lang w:eastAsia="zh-CN"/>
        </w:rPr>
        <w:t xml:space="preserve">章 </w:t>
      </w:r>
      <w:r>
        <w:rPr>
          <w:rFonts w:hint="default" w:ascii="Times New Roman" w:hAnsi="Times New Roman" w:cs="Times New Roman"/>
          <w:color w:val="auto"/>
          <w:spacing w:val="0"/>
          <w:lang w:val="en-US" w:eastAsia="zh-CN"/>
        </w:rPr>
        <w:t>评价与</w:t>
      </w:r>
      <w:r>
        <w:rPr>
          <w:rFonts w:hint="default" w:ascii="Times New Roman" w:hAnsi="Times New Roman" w:eastAsia="黑体" w:cs="Times New Roman"/>
          <w:b w:val="0"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监督</w:t>
      </w:r>
    </w:p>
    <w:p w14:paraId="3EEA42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outlineLvl w:val="9"/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kern w:val="2"/>
          <w:sz w:val="32"/>
          <w:szCs w:val="32"/>
          <w:lang w:val="en-US" w:eastAsia="zh-CN" w:bidi="ar-SA"/>
        </w:rPr>
        <w:t>第十八条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省科技厅、省财政厅负责组织对创新券资金统筹规划，实施预算绩效管理，开展绩效评价，加强绩效评价结果应用，将绩效评价结果作为调整完善政策及资金预算的重要依据。</w:t>
      </w:r>
    </w:p>
    <w:p w14:paraId="685779D6">
      <w:pPr>
        <w:pStyle w:val="3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9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kern w:val="2"/>
          <w:sz w:val="32"/>
          <w:szCs w:val="32"/>
          <w:lang w:val="en-US" w:eastAsia="zh-CN" w:bidi="ar-SA"/>
        </w:rPr>
        <w:t>第十九条</w:t>
      </w:r>
      <w:r>
        <w:rPr>
          <w:rFonts w:hint="eastAsia" w:ascii="方正黑体_GBK" w:hAnsi="方正黑体_GBK" w:eastAsia="方正黑体_GBK" w:cs="方正黑体_GBK"/>
          <w:bCs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省科技厅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组织实施机构对服务机构进行评价和监管，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</w:rPr>
        <w:t>综合评价其服务能力、活跃程度、信用状况等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  <w:lang w:eastAsia="zh-CN"/>
        </w:rPr>
        <w:t>情况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</w:rPr>
        <w:t>，对企业投诉服务质量差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</w:rPr>
        <w:t>被列入失信黑名单、存在违法违规行为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</w:rPr>
        <w:t>不符合要求的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  <w:lang w:eastAsia="zh-CN"/>
        </w:rPr>
        <w:t>，予以暂停服务、退库等处理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highlight w:val="none"/>
        </w:rPr>
        <w:t>省内各类科技创新平台基地应发挥资源优势，积极开展创新券服务，创新券工作情况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将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highlight w:val="none"/>
        </w:rPr>
        <w:t>作为科技创新平台建设绩效考核的重要依据。</w:t>
      </w:r>
    </w:p>
    <w:p w14:paraId="57266772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w w:val="100"/>
          <w:position w:val="0"/>
          <w:sz w:val="32"/>
          <w:szCs w:val="32"/>
        </w:rPr>
        <w:t>第二十条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 xml:space="preserve"> 创新券不得转让、赠送和买卖。对创新券实施过程中弄虚作假、套取财政资金、不配合监督检查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lang w:eastAsia="zh-CN"/>
        </w:rPr>
        <w:t>评价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>的企业和服务机构，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lang w:eastAsia="zh-CN"/>
        </w:rPr>
        <w:t>不予兑付或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>追回已支持的财政资金，并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lang w:eastAsia="zh-CN"/>
        </w:rPr>
        <w:t>依规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>将相关单位和个人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  <w:lang w:eastAsia="zh-CN"/>
        </w:rPr>
        <w:t>记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w w:val="100"/>
          <w:position w:val="0"/>
          <w:sz w:val="32"/>
          <w:szCs w:val="32"/>
        </w:rPr>
        <w:t>入诚信记录；情节严重的，依法追究法律责任。</w:t>
      </w:r>
    </w:p>
    <w:p w14:paraId="4484C930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/>
        <w:textAlignment w:val="auto"/>
        <w:rPr>
          <w:rFonts w:hint="default" w:ascii="Times New Roman" w:hAnsi="Times New Roman" w:cs="Times New Roman"/>
          <w:color w:val="auto"/>
          <w:spacing w:val="0"/>
          <w:lang w:eastAsia="zh-CN"/>
        </w:rPr>
      </w:pPr>
    </w:p>
    <w:p w14:paraId="40643FAE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/>
        <w:textAlignment w:val="auto"/>
        <w:rPr>
          <w:rFonts w:ascii="Times New Roman" w:hAnsi="Times New Roman" w:cs="Times New Roman"/>
          <w:b w:val="0"/>
          <w:color w:val="auto"/>
          <w:spacing w:val="0"/>
        </w:rPr>
      </w:pPr>
      <w:r>
        <w:rPr>
          <w:rFonts w:hint="default" w:ascii="Times New Roman" w:hAnsi="Times New Roman" w:cs="Times New Roman"/>
          <w:color w:val="auto"/>
          <w:spacing w:val="0"/>
          <w:lang w:eastAsia="zh-CN"/>
        </w:rPr>
        <w:t>第</w:t>
      </w:r>
      <w:r>
        <w:rPr>
          <w:rFonts w:hint="default" w:ascii="Times New Roman" w:hAnsi="Times New Roman" w:cs="Times New Roman"/>
          <w:color w:val="auto"/>
          <w:spacing w:val="0"/>
          <w:lang w:val="en-US" w:eastAsia="zh-CN"/>
        </w:rPr>
        <w:t>六</w:t>
      </w:r>
      <w:r>
        <w:rPr>
          <w:rFonts w:hint="default" w:ascii="Times New Roman" w:hAnsi="Times New Roman" w:cs="Times New Roman"/>
          <w:color w:val="auto"/>
          <w:spacing w:val="0"/>
          <w:lang w:eastAsia="zh-CN"/>
        </w:rPr>
        <w:t xml:space="preserve">章 </w:t>
      </w:r>
      <w:r>
        <w:rPr>
          <w:rFonts w:ascii="Times New Roman" w:hAnsi="Times New Roman" w:cs="Times New Roman"/>
          <w:color w:val="auto"/>
          <w:spacing w:val="0"/>
        </w:rPr>
        <w:t>附  则</w:t>
      </w:r>
    </w:p>
    <w:p w14:paraId="49190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b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kern w:val="2"/>
          <w:sz w:val="32"/>
          <w:szCs w:val="32"/>
          <w:lang w:val="en-US" w:eastAsia="zh-CN" w:bidi="ar-SA"/>
        </w:rPr>
        <w:t>第二十一条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本办法由省科技厅</w:t>
      </w:r>
      <w:r>
        <w:rPr>
          <w:rFonts w:hint="eastAsia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、省财政厅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负责解释。</w:t>
      </w:r>
    </w:p>
    <w:p w14:paraId="7FC1D6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/>
          <w:color w:val="000000"/>
          <w:spacing w:val="0"/>
          <w:kern w:val="2"/>
          <w:sz w:val="32"/>
          <w:szCs w:val="32"/>
          <w:lang w:val="en-US" w:eastAsia="zh-CN" w:bidi="ar-SA"/>
        </w:rPr>
        <w:sectPr>
          <w:pgSz w:w="11906" w:h="16838"/>
          <w:pgMar w:top="1871" w:right="1474" w:bottom="1587" w:left="1474" w:header="720" w:footer="720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pacing w:val="0"/>
          <w:kern w:val="2"/>
          <w:sz w:val="32"/>
          <w:szCs w:val="32"/>
          <w:lang w:val="en-US" w:eastAsia="zh-CN" w:bidi="ar-SA"/>
        </w:rPr>
        <w:t>第二十二条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本办法自印发之日起施行，有效期至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2028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年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12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月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31</w:t>
      </w:r>
      <w:r>
        <w:rPr>
          <w:rFonts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日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lang w:val="en-US" w:eastAsia="zh-CN" w:bidi="ar-SA"/>
        </w:rPr>
        <w:t>。</w:t>
      </w:r>
      <w:bookmarkStart w:id="0" w:name="_GoBack"/>
      <w:bookmarkEnd w:id="0"/>
    </w:p>
    <w:p w14:paraId="41507CD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2853DF"/>
    <w:rsid w:val="5E2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widowControl w:val="0"/>
      <w:suppressAutoHyphens/>
      <w:bidi w:val="0"/>
      <w:spacing w:beforeLines="0" w:beforeAutospacing="0" w:afterLines="0" w:afterAutospacing="0" w:line="590" w:lineRule="exact"/>
      <w:jc w:val="center"/>
      <w:outlineLvl w:val="0"/>
    </w:pPr>
    <w:rPr>
      <w:rFonts w:ascii="Times New Roman" w:hAnsi="Times New Roman" w:eastAsia="方正小标宋_GBK" w:cs="Times New Roman"/>
      <w:color w:val="auto"/>
      <w:kern w:val="44"/>
      <w:sz w:val="44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next w:val="4"/>
    <w:uiPriority w:val="0"/>
    <w:pPr>
      <w:widowControl w:val="0"/>
      <w:suppressAutoHyphens/>
      <w:bidi w:val="0"/>
      <w:spacing w:before="0" w:after="140" w:line="276" w:lineRule="auto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4">
    <w:name w:val="Body Text First Indent"/>
    <w:next w:val="1"/>
    <w:unhideWhenUsed/>
    <w:qFormat/>
    <w:uiPriority w:val="99"/>
    <w:pPr>
      <w:widowControl w:val="0"/>
      <w:suppressAutoHyphens/>
      <w:bidi w:val="0"/>
      <w:spacing w:before="0" w:after="120" w:line="276" w:lineRule="auto"/>
      <w:ind w:firstLine="420" w:firstLineChars="100"/>
      <w:jc w:val="both"/>
    </w:pPr>
    <w:rPr>
      <w:rFonts w:ascii="Calibri" w:hAnsi="Calibri" w:eastAsia="宋体" w:cs="Times New Roman"/>
      <w:color w:val="auto"/>
      <w:kern w:val="2"/>
      <w:sz w:val="21"/>
      <w:szCs w:val="22"/>
      <w:lang w:val="en-US" w:eastAsia="zh-CN" w:bidi="ar-SA"/>
    </w:rPr>
  </w:style>
  <w:style w:type="paragraph" w:styleId="5">
    <w:name w:val="footer"/>
    <w:qFormat/>
    <w:uiPriority w:val="0"/>
    <w:pPr>
      <w:widowControl w:val="0"/>
      <w:tabs>
        <w:tab w:val="center" w:pos="4153"/>
        <w:tab w:val="right" w:pos="8306"/>
      </w:tabs>
      <w:suppressAutoHyphens/>
      <w:bidi w:val="0"/>
      <w:snapToGrid w:val="0"/>
      <w:jc w:val="left"/>
    </w:pPr>
    <w:rPr>
      <w:rFonts w:ascii="Calibri" w:hAnsi="Calibri" w:eastAsia="宋体" w:cs="Times New Roman"/>
      <w:color w:val="auto"/>
      <w:kern w:val="2"/>
      <w:sz w:val="18"/>
      <w:szCs w:val="24"/>
      <w:lang w:val="en-US" w:eastAsia="zh-CN" w:bidi="ar-SA"/>
    </w:rPr>
  </w:style>
  <w:style w:type="paragraph" w:customStyle="1" w:styleId="8">
    <w:name w:val="章标题"/>
    <w:next w:val="1"/>
    <w:qFormat/>
    <w:uiPriority w:val="0"/>
    <w:pPr>
      <w:widowControl w:val="0"/>
      <w:spacing w:line="560" w:lineRule="exact"/>
      <w:jc w:val="center"/>
      <w:outlineLvl w:val="0"/>
    </w:pPr>
    <w:rPr>
      <w:rFonts w:ascii="黑体" w:hAnsi="黑体" w:eastAsia="黑体" w:cs="黑体"/>
      <w:bCs/>
      <w:spacing w:val="-6"/>
      <w:kern w:val="44"/>
      <w:sz w:val="32"/>
      <w:szCs w:val="32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2026-08-19T09:46:00Z</dcterms:created>
  <dc:creator>何玉清</dc:creator>
  <cp:lastModifiedBy>何玉清</cp:lastModifiedBy>
  <dcterms:modified xsi:type="dcterms:W3CDTF">2026-08-19T09:47:04Z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1449664634AC4951B7474FF91AF92D4E_11</vt:lpwstr>
  </property>
  <property fmtid="{D5CDD505-2E9C-101B-9397-08002B2CF9AE}" pid="4" name="KSOTemplateDocerSaveRecord">
    <vt:lpwstr>eyJoZGlkIjoiMDU2ZjVjOWIzZjVjZWI0MjIwZGZlODk2MmFmNTIzZTQiLCJ1c2VySWQiOiI1NzEwNzY0NDEifQ==</vt:lpwstr>
  </property>
</Properties>
</file>