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2D7B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color w:val="auto"/>
          <w:kern w:val="2"/>
          <w:sz w:val="32"/>
          <w:szCs w:val="32"/>
          <w:highlight w:val="none"/>
          <w:lang w:val="en-US" w:eastAsia="zh-CN"/>
        </w:rPr>
        <w:t>5</w:t>
      </w:r>
    </w:p>
    <w:p w14:paraId="2F264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13BE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7D75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52"/>
          <w:szCs w:val="52"/>
        </w:rPr>
      </w:pPr>
    </w:p>
    <w:p w14:paraId="23AF8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eastAsia="方正小标宋_GBK" w:cs="Times New Roman"/>
          <w:sz w:val="52"/>
          <w:szCs w:val="52"/>
          <w:u w:val="none"/>
          <w:lang w:val="en-US" w:eastAsia="zh-CN"/>
        </w:rPr>
        <w:t>安徽省科技服务业创新发展集聚区</w:t>
      </w:r>
    </w:p>
    <w:p w14:paraId="52170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52"/>
          <w:szCs w:val="52"/>
        </w:rPr>
      </w:pPr>
      <w:r>
        <w:rPr>
          <w:rFonts w:hint="eastAsia" w:ascii="Times New Roman" w:hAnsi="Times New Roman" w:eastAsia="方正小标宋_GBK" w:cs="Times New Roman"/>
          <w:sz w:val="52"/>
          <w:szCs w:val="52"/>
          <w:lang w:eastAsia="zh-CN"/>
        </w:rPr>
        <w:t>建设</w:t>
      </w:r>
      <w:r>
        <w:rPr>
          <w:rFonts w:hint="default" w:ascii="Times New Roman" w:hAnsi="Times New Roman" w:eastAsia="方正小标宋_GBK" w:cs="Times New Roman"/>
          <w:sz w:val="52"/>
          <w:szCs w:val="52"/>
        </w:rPr>
        <w:t>方案</w:t>
      </w:r>
    </w:p>
    <w:p w14:paraId="48B02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44AC2B5">
      <w:pPr>
        <w:widowControl w:val="0"/>
        <w:ind w:firstLine="0" w:firstLineChars="0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 w14:paraId="46C7B735">
      <w:pPr>
        <w:widowControl w:val="0"/>
        <w:ind w:firstLine="0" w:firstLineChars="0"/>
        <w:jc w:val="center"/>
        <w:rPr>
          <w:rFonts w:hint="eastAsia" w:ascii="Times New Roman" w:hAnsi="Times New Roman" w:eastAsia="方正小标宋简体" w:cs="Times New Roman"/>
          <w:sz w:val="30"/>
          <w:szCs w:val="30"/>
          <w:lang w:eastAsia="zh-CN"/>
        </w:rPr>
      </w:pPr>
      <w:r>
        <w:rPr>
          <w:rFonts w:hint="eastAsia" w:eastAsia="方正小标宋简体" w:cs="Times New Roman"/>
          <w:sz w:val="30"/>
          <w:szCs w:val="30"/>
          <w:lang w:eastAsia="zh-CN"/>
        </w:rPr>
        <w:t>封面</w:t>
      </w:r>
    </w:p>
    <w:p w14:paraId="3F91F07D">
      <w:pPr>
        <w:widowControl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5B5F180">
      <w:pPr>
        <w:widowControl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7CBA23D">
      <w:pPr>
        <w:widowControl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EE1A6DB">
      <w:pPr>
        <w:widowControl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92061E7">
      <w:pPr>
        <w:widowControl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9CFC8DB">
      <w:pPr>
        <w:widowControl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4838A0B">
      <w:pPr>
        <w:widowControl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641DE3C">
      <w:pPr>
        <w:widowControl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7BDB728">
      <w:pPr>
        <w:widowControl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9E17EFE">
      <w:pPr>
        <w:widowControl w:val="0"/>
        <w:spacing w:line="6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黑体" w:cs="Times New Roman"/>
          <w:sz w:val="32"/>
          <w:szCs w:val="32"/>
        </w:rPr>
        <w:t>单位：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方正楷体_GBK" w:cs="Times New Roman"/>
          <w:b w:val="0"/>
          <w:bCs/>
          <w:sz w:val="32"/>
          <w:szCs w:val="32"/>
          <w:u w:val="single"/>
        </w:rPr>
        <w:t>（标准全称）（盖章）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       </w:t>
      </w:r>
    </w:p>
    <w:p w14:paraId="303C851E">
      <w:pPr>
        <w:widowControl w:val="0"/>
        <w:spacing w:line="660" w:lineRule="exact"/>
        <w:rPr>
          <w:rFonts w:hint="default" w:ascii="Times New Roman" w:hAnsi="Times New Roman" w:eastAsia="黑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联系人及电话：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single"/>
        </w:rPr>
        <w:t xml:space="preserve">      </w:t>
      </w:r>
      <w:r>
        <w:rPr>
          <w:rFonts w:hint="eastAsia" w:eastAsia="黑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</w:t>
      </w:r>
    </w:p>
    <w:p w14:paraId="1F0BBD25">
      <w:pPr>
        <w:widowControl w:val="0"/>
        <w:spacing w:line="660" w:lineRule="exact"/>
        <w:rPr>
          <w:rFonts w:hint="default" w:ascii="Times New Roman" w:hAnsi="Times New Roman" w:eastAsia="黑体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黑体" w:cs="Times New Roman"/>
          <w:sz w:val="32"/>
          <w:szCs w:val="32"/>
        </w:rPr>
        <w:t>时间：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方正楷体_GBK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楷体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u w:val="single"/>
          <w:lang w:val="en-US" w:eastAsia="zh-CN"/>
        </w:rPr>
        <w:t>x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u w:val="single"/>
        </w:rPr>
        <w:t>年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u w:val="single"/>
          <w:lang w:val="en-US" w:eastAsia="zh-CN"/>
        </w:rPr>
        <w:t>x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u w:val="single"/>
        </w:rPr>
        <w:t>月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u w:val="single"/>
          <w:lang w:val="en-US" w:eastAsia="zh-CN"/>
        </w:rPr>
        <w:t>x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u w:val="single"/>
        </w:rPr>
        <w:t xml:space="preserve">日 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  </w:t>
      </w:r>
    </w:p>
    <w:p w14:paraId="32F29F68">
      <w:pPr>
        <w:widowControl w:val="0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u w:val="single"/>
        </w:rPr>
        <w:sectPr>
          <w:footerReference r:id="rId5" w:type="default"/>
          <w:pgSz w:w="11906" w:h="16838"/>
          <w:pgMar w:top="1871" w:right="1474" w:bottom="158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titlePg/>
          <w:rtlGutter w:val="0"/>
          <w:docGrid w:linePitch="0" w:charSpace="0"/>
        </w:sectPr>
      </w:pPr>
    </w:p>
    <w:p w14:paraId="7F067AD7">
      <w:pPr>
        <w:pStyle w:val="3"/>
        <w:keepNext w:val="0"/>
        <w:keepLines w:val="0"/>
        <w:autoSpaceDE/>
        <w:spacing w:line="560" w:lineRule="exact"/>
        <w:ind w:firstLine="0" w:firstLineChars="0"/>
        <w:jc w:val="center"/>
        <w:rPr>
          <w:rFonts w:hint="eastAsia"/>
          <w:lang w:val="en-US" w:eastAsia="zh-CN"/>
        </w:rPr>
      </w:pPr>
    </w:p>
    <w:p w14:paraId="0C8869AC">
      <w:pPr>
        <w:pStyle w:val="3"/>
        <w:keepNext w:val="0"/>
        <w:keepLines w:val="0"/>
        <w:autoSpaceDE/>
        <w:spacing w:line="560" w:lineRule="exact"/>
        <w:ind w:firstLine="0" w:firstLineChars="0"/>
        <w:jc w:val="center"/>
        <w:rPr>
          <w:rFonts w:hint="eastAsia"/>
          <w:lang w:val="en-US" w:eastAsia="zh-CN"/>
        </w:rPr>
      </w:pPr>
    </w:p>
    <w:p w14:paraId="6DE1BBF3">
      <w:pPr>
        <w:pStyle w:val="3"/>
        <w:keepNext w:val="0"/>
        <w:keepLines w:val="0"/>
        <w:autoSpaceDE/>
        <w:spacing w:line="560" w:lineRule="exact"/>
        <w:ind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编制要求</w:t>
      </w:r>
    </w:p>
    <w:p w14:paraId="62417FF9">
      <w:pPr>
        <w:autoSpaceDE/>
        <w:spacing w:beforeLines="0" w:afterLines="0" w:line="560" w:lineRule="exact"/>
        <w:rPr>
          <w:rFonts w:hint="eastAsia"/>
          <w:lang w:val="en-US" w:eastAsia="zh-CN"/>
        </w:rPr>
      </w:pPr>
    </w:p>
    <w:p w14:paraId="5155B0E7">
      <w:pPr>
        <w:numPr>
          <w:ilvl w:val="0"/>
          <w:numId w:val="0"/>
        </w:numPr>
        <w:autoSpaceDE/>
        <w:spacing w:beforeLines="0" w:afterLines="0" w:line="5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Times New Roman" w:eastAsia="方正仿宋_GBK"/>
          <w:lang w:val="en-US" w:eastAsia="zh-CN"/>
        </w:rPr>
        <w:t>一、科技服务业的统计范围以《国家科技服务业统计分类（2018）》为准。</w:t>
      </w:r>
    </w:p>
    <w:p w14:paraId="658FD58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Times New Roman" w:eastAsia="方正仿宋_GBK"/>
          <w:lang w:val="en-US" w:eastAsia="zh-CN"/>
        </w:rPr>
        <w:t>二、特色型集聚区的具体领域，参考工业和信息化部等九部门印发的《加快推进科技服务业高质量发展的实施意见》中所提出的“研究开发、技术转移转化、企业孵化、技术推广、检验检测认证、信息技术、工程技术、科技金融、知识产权、科技咨询及其他科技服务”十类领域。申报特色型集聚区的，相关定量指标应聚焦所申报领域。</w:t>
      </w:r>
    </w:p>
    <w:p w14:paraId="527DC017">
      <w:pPr>
        <w:autoSpaceDE/>
        <w:spacing w:beforeLines="0" w:afterLines="0" w:line="560" w:lineRule="exact"/>
        <w:ind w:firstLine="640"/>
        <w:rPr>
          <w:rFonts w:hint="default"/>
          <w:lang w:val="en-US" w:eastAsia="zh-CN"/>
        </w:rPr>
      </w:pPr>
      <w:r>
        <w:rPr>
          <w:rFonts w:hint="eastAsia" w:ascii="Times New Roman" w:eastAsia="方正仿宋_GBK"/>
          <w:lang w:val="en-US" w:eastAsia="zh-CN"/>
        </w:rPr>
        <w:t>三、所有定量指标均需提供佐证资料。佐证资料可以是经有关部门审核盖章的数据资料或清单，也可以是相应的证书或文件资料。</w:t>
      </w:r>
    </w:p>
    <w:p w14:paraId="2DF12D2D">
      <w:pPr>
        <w:ind w:left="0" w:leftChars="0" w:firstLine="0" w:firstLineChars="0"/>
        <w:jc w:val="center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eastAsia="方正小标宋_GBK" w:cs="Times New Roman"/>
          <w:sz w:val="44"/>
          <w:szCs w:val="44"/>
          <w:u w:val="none"/>
          <w:lang w:val="en-US" w:eastAsia="zh-CN"/>
        </w:rPr>
        <w:br w:type="page"/>
      </w:r>
      <w:r>
        <w:rPr>
          <w:rFonts w:hint="eastAsia" w:eastAsia="方正小标宋_GBK" w:cs="Times New Roman"/>
          <w:sz w:val="44"/>
          <w:szCs w:val="44"/>
          <w:u w:val="none"/>
          <w:lang w:val="en-US" w:eastAsia="zh-CN"/>
        </w:rPr>
        <w:t>安徽省科技服务业创新发展集聚区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建设方案</w:t>
      </w:r>
    </w:p>
    <w:p w14:paraId="58886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（提纲）</w:t>
      </w:r>
    </w:p>
    <w:p w14:paraId="186AE60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8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 w14:paraId="27A8B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一、基本情况</w:t>
      </w:r>
    </w:p>
    <w:p w14:paraId="5F02AAE0">
      <w:pPr>
        <w:spacing w:line="560" w:lineRule="exact"/>
        <w:ind w:left="0" w:leftChars="0" w:firstLine="640" w:firstLineChars="200"/>
        <w:jc w:val="left"/>
        <w:rPr>
          <w:rFonts w:hint="eastAsia" w:ascii="Times New Roman" w:hAnsi="Times New Roman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围绕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产业规模、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企业集聚、技术创新、基础设施、政策环境、开放合作等方面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总结区域</w:t>
      </w:r>
      <w:r>
        <w:rPr>
          <w:rFonts w:hint="eastAsia" w:ascii="Times New Roman" w:hAnsi="Times New Roman" w:eastAsia="方正仿宋_GBK" w:cs="Times New Roman"/>
          <w:lang w:val="en-US" w:eastAsia="zh-CN"/>
        </w:rPr>
        <w:t>科技服务业发展基本情况，</w:t>
      </w:r>
      <w:r>
        <w:rPr>
          <w:rFonts w:hint="eastAsia" w:ascii="Times New Roman" w:hAnsi="Times New Roman" w:cs="Times New Roman"/>
          <w:lang w:val="en-US" w:eastAsia="zh-CN"/>
        </w:rPr>
        <w:t>分析建设</w:t>
      </w:r>
      <w:r>
        <w:rPr>
          <w:rFonts w:hint="eastAsia" w:ascii="Times New Roman" w:hAnsi="Times New Roman" w:eastAsia="方正仿宋_GBK" w:cs="Times New Roman"/>
          <w:lang w:val="en-US" w:eastAsia="zh-CN"/>
        </w:rPr>
        <w:t>科技服务业创新发展集聚区的优势特色和存在短板</w:t>
      </w:r>
      <w:r>
        <w:rPr>
          <w:rFonts w:hint="eastAsia" w:ascii="Times New Roman" w:hAnsi="Times New Roman" w:cs="Times New Roman"/>
          <w:lang w:val="en-US" w:eastAsia="zh-CN"/>
        </w:rPr>
        <w:t>。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（围绕附件2《安徽省科技服务业创新发展集聚区建设指标表》阐述）同时需</w:t>
      </w:r>
      <w:r>
        <w:rPr>
          <w:rFonts w:hint="eastAsia" w:ascii="Times New Roman" w:hAnsi="Times New Roman" w:cs="Times New Roman"/>
          <w:lang w:val="en-US" w:eastAsia="zh-CN"/>
        </w:rPr>
        <w:t>附</w:t>
      </w:r>
      <w:r>
        <w:rPr>
          <w:rFonts w:hint="eastAsia" w:ascii="Times New Roman" w:hAnsi="Times New Roman" w:eastAsia="方正仿宋_GBK" w:cs="Times New Roman"/>
          <w:lang w:val="en-US" w:eastAsia="zh-CN"/>
        </w:rPr>
        <w:t>区域区划范围、各区域功能定位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）</w:t>
      </w:r>
    </w:p>
    <w:p w14:paraId="3F4A4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二、建设目标</w:t>
      </w:r>
    </w:p>
    <w:p w14:paraId="467D44F6">
      <w:pPr>
        <w:spacing w:line="560" w:lineRule="exact"/>
        <w:ind w:left="0" w:leftChars="0" w:firstLine="640" w:firstLineChars="200"/>
        <w:jc w:val="left"/>
        <w:rPr>
          <w:rFonts w:hint="eastAsia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>未来三年集聚区建设</w:t>
      </w:r>
      <w:r>
        <w:rPr>
          <w:rFonts w:hint="default" w:ascii="Times New Roman" w:hAnsi="Times New Roman" w:eastAsia="方正仿宋_GBK" w:cs="Times New Roman"/>
          <w:lang w:val="en-US" w:eastAsia="zh-CN"/>
        </w:rPr>
        <w:t>的总体思路、发展定位</w:t>
      </w:r>
      <w:r>
        <w:rPr>
          <w:rFonts w:hint="eastAsia" w:ascii="Times New Roman" w:hAnsi="Times New Roman" w:eastAsia="方正仿宋_GBK" w:cs="Times New Roman"/>
          <w:lang w:val="en-US" w:eastAsia="zh-CN"/>
        </w:rPr>
        <w:t>、具体目标</w:t>
      </w:r>
      <w:r>
        <w:rPr>
          <w:rFonts w:hint="default" w:ascii="Times New Roman" w:hAnsi="Times New Roman" w:eastAsia="方正仿宋_GBK" w:cs="Times New Roman"/>
          <w:lang w:val="en-US" w:eastAsia="zh-CN"/>
        </w:rPr>
        <w:t>及分年度计划</w:t>
      </w:r>
      <w:r>
        <w:rPr>
          <w:rFonts w:hint="eastAsia" w:ascii="Times New Roman" w:hAnsi="Times New Roman" w:eastAsia="方正仿宋_GBK" w:cs="Times New Roman"/>
          <w:lang w:val="en-US" w:eastAsia="zh-CN"/>
        </w:rPr>
        <w:t>（定性和定量相结合）。</w:t>
      </w:r>
    </w:p>
    <w:p w14:paraId="5BACD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重点</w:t>
      </w:r>
      <w:r>
        <w:rPr>
          <w:rFonts w:hint="eastAsia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举措</w:t>
      </w:r>
    </w:p>
    <w:p w14:paraId="09F36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未来三年在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推动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/>
        </w:rPr>
        <w:t>产业发展、</w:t>
      </w:r>
      <w:r>
        <w:rPr>
          <w:rFonts w:hint="eastAsia" w:cs="Times New Roman"/>
          <w:color w:val="auto"/>
          <w:kern w:val="2"/>
          <w:sz w:val="32"/>
          <w:szCs w:val="32"/>
          <w:highlight w:val="none"/>
          <w:lang w:val="en-US" w:eastAsia="zh-CN"/>
        </w:rPr>
        <w:t>提升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/>
        </w:rPr>
        <w:t>创新能力、</w:t>
      </w:r>
      <w:r>
        <w:rPr>
          <w:rFonts w:hint="eastAsia" w:cs="Times New Roman"/>
          <w:color w:val="auto"/>
          <w:kern w:val="2"/>
          <w:sz w:val="32"/>
          <w:szCs w:val="32"/>
          <w:highlight w:val="none"/>
          <w:lang w:val="en-US" w:eastAsia="zh-CN"/>
        </w:rPr>
        <w:t>促进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/>
        </w:rPr>
        <w:t>企业集聚、</w:t>
      </w:r>
      <w:r>
        <w:rPr>
          <w:rFonts w:hint="eastAsia" w:cs="Times New Roman"/>
          <w:color w:val="auto"/>
          <w:kern w:val="2"/>
          <w:sz w:val="32"/>
          <w:szCs w:val="32"/>
          <w:highlight w:val="none"/>
          <w:lang w:val="en-US" w:eastAsia="zh-CN"/>
        </w:rPr>
        <w:t>优化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/>
        </w:rPr>
        <w:t>产业生态等</w:t>
      </w:r>
      <w:r>
        <w:rPr>
          <w:rFonts w:hint="eastAsia" w:cs="Times New Roman"/>
          <w:color w:val="auto"/>
          <w:kern w:val="2"/>
          <w:sz w:val="32"/>
          <w:szCs w:val="32"/>
          <w:highlight w:val="none"/>
          <w:lang w:val="en-US" w:eastAsia="zh-CN"/>
        </w:rPr>
        <w:t>方面的重点任务，提出包括但不限于强化双招双引、建设服务平台、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出台</w:t>
      </w:r>
      <w:r>
        <w:rPr>
          <w:rFonts w:hint="eastAsia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专项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政策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、推动重大项目投资、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打造特色品牌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等具体举措。</w:t>
      </w:r>
    </w:p>
    <w:p w14:paraId="6FA15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、保障措施</w:t>
      </w:r>
    </w:p>
    <w:p w14:paraId="48762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提出集聚区培育发展科技服务业的工作机制和保障措施，</w:t>
      </w:r>
      <w:r>
        <w:rPr>
          <w:rFonts w:hint="eastAsia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包括但不限于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建立完善组织机制、探索创新治理模式、推动落实要素保障等。</w:t>
      </w:r>
    </w:p>
    <w:p w14:paraId="76FE2D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6980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6F15D8">
                          <w:pPr>
                            <w:pStyle w:val="4"/>
                            <w:ind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6F15D8">
                    <w:pPr>
                      <w:pStyle w:val="4"/>
                      <w:ind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B2725"/>
    <w:rsid w:val="6A8B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widowControl w:val="0"/>
      <w:spacing w:beforeLines="0" w:beforeAutospacing="0" w:afterLines="0" w:afterAutospacing="0" w:line="590" w:lineRule="exact"/>
      <w:ind w:firstLine="883" w:firstLineChars="200"/>
      <w:jc w:val="center"/>
      <w:outlineLvl w:val="0"/>
    </w:pPr>
    <w:rPr>
      <w:rFonts w:ascii="Times New Roman" w:hAnsi="Times New Roman" w:eastAsia="方正小标宋_GBK" w:cs="Times New Roman"/>
      <w:kern w:val="44"/>
      <w:sz w:val="44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before="280" w:after="290" w:line="376" w:lineRule="auto"/>
      <w:ind w:firstLine="883" w:firstLineChars="200"/>
      <w:jc w:val="both"/>
      <w:outlineLvl w:val="3"/>
    </w:pPr>
    <w:rPr>
      <w:rFonts w:ascii="Arial" w:hAnsi="Arial" w:eastAsia="黑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line="560" w:lineRule="exact"/>
      <w:ind w:firstLine="883" w:firstLineChars="200"/>
      <w:jc w:val="left"/>
    </w:pPr>
    <w:rPr>
      <w:rFonts w:ascii="Times New Roman" w:hAnsi="Times New Roman" w:eastAsia="方正仿宋_GBK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2026-06-24T08:32:00Z</dcterms:created>
  <dc:creator>何玉清</dc:creator>
  <cp:lastModifiedBy>何玉清</cp:lastModifiedBy>
  <dcterms:modified xsi:type="dcterms:W3CDTF">2026-06-24T08:33:00Z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3F0F7D0C75A24FEABF338A563128B0D4_11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