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780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9DD02A2">
      <w:pPr>
        <w:pStyle w:val="3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20"/>
          <w:kern w:val="2"/>
          <w:sz w:val="44"/>
          <w:szCs w:val="44"/>
          <w:lang w:val="en-US" w:eastAsia="zh-CN" w:bidi="ar-SA"/>
        </w:rPr>
      </w:pPr>
    </w:p>
    <w:p w14:paraId="617A273F">
      <w:pPr>
        <w:pStyle w:val="3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20"/>
          <w:kern w:val="2"/>
          <w:sz w:val="44"/>
          <w:szCs w:val="44"/>
          <w:lang w:val="en-US" w:eastAsia="zh-CN" w:bidi="ar-SA"/>
        </w:rPr>
        <w:t>顶尖孵化器建设需求表</w:t>
      </w:r>
    </w:p>
    <w:tbl>
      <w:tblPr>
        <w:tblStyle w:val="10"/>
        <w:tblW w:w="81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39"/>
        <w:gridCol w:w="1184"/>
        <w:gridCol w:w="3557"/>
      </w:tblGrid>
      <w:tr w14:paraId="358C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03" w:type="dxa"/>
            <w:noWrap w:val="0"/>
            <w:vAlign w:val="top"/>
          </w:tcPr>
          <w:p w14:paraId="0612E297">
            <w:pPr>
              <w:pStyle w:val="9"/>
              <w:spacing w:before="193" w:line="22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拟建设顶孵化器名称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52E697F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1C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jc w:val="center"/>
        </w:trPr>
        <w:tc>
          <w:tcPr>
            <w:tcW w:w="1603" w:type="dxa"/>
            <w:noWrap w:val="0"/>
            <w:vAlign w:val="center"/>
          </w:tcPr>
          <w:p w14:paraId="1D666CA6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产业领域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58D9F0C1">
            <w:pPr>
              <w:pStyle w:val="9"/>
              <w:spacing w:before="71" w:line="219" w:lineRule="auto"/>
              <w:ind w:left="0" w:firstLine="0" w:firstLine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智能网联新能源汽车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新一代信息技术</w:t>
            </w:r>
            <w:r>
              <w:rPr>
                <w:rFonts w:hint="default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人工</w:t>
            </w:r>
            <w:r>
              <w:rPr>
                <w:rFonts w:hint="default" w:ascii="Arial" w:hAnsi="Arial" w:eastAsia="Arial" w:cs="Arial"/>
              </w:rPr>
              <w:t>智能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高端装备制造</w:t>
            </w:r>
            <w:r>
              <w:rPr>
                <w:rFonts w:hint="default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新能源及绿色低碳</w:t>
            </w:r>
            <w:r>
              <w:rPr>
                <w:rFonts w:hint="default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新材料</w:t>
            </w:r>
            <w:r>
              <w:rPr>
                <w:rFonts w:hint="default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低空经济和商业航天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机器人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智能家居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生物医药和高端医疗器械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量子科技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生物制造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氢能和核聚变能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脑机接口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具身智能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第六代移动通信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前沿材料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新一代半导体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深空探测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</w:rPr>
              <w:sym w:font="Wingdings 2" w:char="00A3"/>
            </w:r>
            <w:r>
              <w:rPr>
                <w:rFonts w:hint="eastAsia" w:ascii="Arial" w:hAnsi="Arial" w:eastAsia="Arial" w:cs="Arial"/>
                <w:lang w:eastAsia="zh-CN"/>
              </w:rPr>
              <w:t>生命科学</w:t>
            </w:r>
            <w:r>
              <w:rPr>
                <w:rFonts w:hint="eastAsia" w:ascii="Arial" w:hAnsi="Arial" w:eastAsia="Arial" w:cs="Arial"/>
                <w:lang w:val="en-US" w:eastAsia="zh-CN"/>
              </w:rPr>
              <w:t xml:space="preserve">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其他</w:t>
            </w:r>
            <w:r>
              <w:rPr>
                <w:rFonts w:hint="eastAsia" w:ascii="仿宋_GB2312" w:hAnsi="华文仿宋" w:cs="华文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华文仿宋" w:eastAsia="宋体" w:cs="华文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cs="华文仿宋"/>
                <w:sz w:val="28"/>
                <w:szCs w:val="28"/>
                <w:u w:val="single"/>
              </w:rPr>
              <w:t xml:space="preserve">  </w:t>
            </w:r>
          </w:p>
        </w:tc>
      </w:tr>
      <w:tr w14:paraId="2C20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779E30AA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建设方式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7DCB3664">
            <w:pPr>
              <w:pStyle w:val="9"/>
              <w:spacing w:before="71" w:line="219" w:lineRule="auto"/>
              <w:ind w:left="0" w:firstLine="0" w:firstLine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</w:rPr>
              <w:sym w:font="Wingdings 2" w:char="00A3"/>
            </w:r>
            <w:r>
              <w:rPr>
                <w:rFonts w:hint="default"/>
                <w:lang w:eastAsia="zh-CN"/>
              </w:rPr>
              <w:t>省外招引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default"/>
                <w:lang w:eastAsia="zh-CN"/>
              </w:rPr>
              <w:t>整合共建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default"/>
                <w:lang w:eastAsia="zh-CN"/>
              </w:rPr>
              <w:t>挖掘提升</w:t>
            </w:r>
          </w:p>
        </w:tc>
      </w:tr>
      <w:tr w14:paraId="1939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3987BC49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牵头承担单位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6055E36D">
            <w:pPr>
              <w:pStyle w:val="9"/>
              <w:spacing w:before="71" w:line="219" w:lineRule="auto"/>
              <w:ind w:left="0" w:firstLine="0" w:firstLineChars="0"/>
              <w:rPr>
                <w:rFonts w:hint="default"/>
              </w:rPr>
            </w:pPr>
          </w:p>
        </w:tc>
      </w:tr>
      <w:tr w14:paraId="1B8A4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04F8D418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共同建设单位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4AFD850C">
            <w:pPr>
              <w:pStyle w:val="9"/>
              <w:spacing w:before="71" w:line="219" w:lineRule="auto"/>
              <w:ind w:left="0" w:firstLine="0" w:firstLineChars="0"/>
              <w:rPr>
                <w:rFonts w:hint="default"/>
              </w:rPr>
            </w:pPr>
          </w:p>
        </w:tc>
      </w:tr>
      <w:tr w14:paraId="023F2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5F8A4BEF">
            <w:pPr>
              <w:pStyle w:val="9"/>
              <w:spacing w:before="189" w:line="219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预计建设年限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0B1393BB">
            <w:pPr>
              <w:rPr>
                <w:rFonts w:hint="default"/>
              </w:rPr>
            </w:pPr>
          </w:p>
        </w:tc>
      </w:tr>
      <w:tr w14:paraId="7DD0E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178F180F">
            <w:pPr>
              <w:pStyle w:val="9"/>
              <w:spacing w:before="189" w:line="219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预计资金总投入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62570A1F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（含孵化空间改造升级、公共服务平台建设、专业服务能力建设、孵化人才招引与激励、举办资源对接活动等）</w:t>
            </w:r>
          </w:p>
        </w:tc>
      </w:tr>
      <w:tr w14:paraId="01355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40E52988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1D0C354F">
            <w:pPr>
              <w:pStyle w:val="9"/>
              <w:spacing w:before="71" w:line="219" w:lineRule="auto"/>
              <w:ind w:left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（所在市科技局为归口管理部门）</w:t>
            </w:r>
          </w:p>
        </w:tc>
      </w:tr>
      <w:tr w14:paraId="263D0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3" w:type="dxa"/>
            <w:noWrap w:val="0"/>
            <w:vAlign w:val="center"/>
          </w:tcPr>
          <w:p w14:paraId="7622EC5C">
            <w:pPr>
              <w:pStyle w:val="9"/>
              <w:spacing w:before="189" w:line="219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填报人</w:t>
            </w:r>
          </w:p>
        </w:tc>
        <w:tc>
          <w:tcPr>
            <w:tcW w:w="1839" w:type="dxa"/>
            <w:noWrap w:val="0"/>
            <w:vAlign w:val="center"/>
          </w:tcPr>
          <w:p w14:paraId="5FE263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1B0AC24">
            <w:pPr>
              <w:pStyle w:val="9"/>
              <w:spacing w:before="192" w:line="221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noWrap w:val="0"/>
            <w:vAlign w:val="top"/>
          </w:tcPr>
          <w:p w14:paraId="61D4B5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F83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5F0400C5">
            <w:pPr>
              <w:pStyle w:val="9"/>
              <w:spacing w:before="193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 xml:space="preserve"> 建设背景和必要性</w:t>
            </w:r>
          </w:p>
        </w:tc>
      </w:tr>
      <w:tr w14:paraId="348F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23D2413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结合国内外、安徽省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及当地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产业现状和基础，阐述当前产业链创新链存在的问题，该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顶尖孵化器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建设必要性、紧迫性及政策、地域等优势。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7E9DA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26C6B1C9">
            <w:pPr>
              <w:pStyle w:val="9"/>
              <w:spacing w:before="40" w:line="244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基础条件</w:t>
            </w:r>
          </w:p>
        </w:tc>
      </w:tr>
      <w:tr w14:paraId="7A48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639F97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（牵头单位及共建单位基础条件、技术优势和水平，孵化器领军人物及运营团队情况、主要创新成果、已有创新平台建设运行情况，组建顶尖孵化器的基础条件、合作基础等。）</w:t>
            </w:r>
          </w:p>
        </w:tc>
      </w:tr>
      <w:tr w14:paraId="1E07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6498A178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主要目标和任务</w:t>
            </w:r>
          </w:p>
        </w:tc>
      </w:tr>
      <w:tr w14:paraId="331C7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1E9EC486">
            <w:pPr>
              <w:pStyle w:val="4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顶尖孵化器的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功能定位、布局方向、发展思路及近中长期目标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、主要建设任务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等）</w:t>
            </w:r>
          </w:p>
          <w:p w14:paraId="015B96B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F2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2AF1CBC1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管理与运行机制</w:t>
            </w:r>
          </w:p>
        </w:tc>
      </w:tr>
      <w:tr w14:paraId="515D7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1F6A8404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（顶尖孵化器的组织架构、机构设置，共建单位的任务分工和职责，拟采取的管理运行机制等）</w:t>
            </w:r>
          </w:p>
        </w:tc>
      </w:tr>
      <w:tr w14:paraId="294E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3EE58E40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组建计划</w:t>
            </w:r>
          </w:p>
        </w:tc>
      </w:tr>
      <w:tr w14:paraId="0122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48A93873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（建设地点、建设内容、建设周期与进度安排，资金来源构成、经费主要用途等。）</w:t>
            </w:r>
          </w:p>
        </w:tc>
      </w:tr>
      <w:tr w14:paraId="15FE6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30F30A77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预期建设成效</w:t>
            </w:r>
          </w:p>
        </w:tc>
      </w:tr>
      <w:tr w14:paraId="3DBE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1BAE57AC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（顶尖孵化器建成后预期取得的绩效目标，对当地及安徽省产业发展的带动作用）</w:t>
            </w:r>
          </w:p>
        </w:tc>
      </w:tr>
    </w:tbl>
    <w:p w14:paraId="5C134502">
      <w:pPr>
        <w:pStyle w:val="3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07B430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04D4"/>
    <w:rsid w:val="0AA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uppressAutoHyphens/>
      <w:bidi w:val="0"/>
      <w:spacing w:after="0"/>
      <w:ind w:left="0" w:leftChars="0" w:firstLine="420" w:firstLineChars="200"/>
      <w:jc w:val="both"/>
      <w:textAlignment w:val="baseline"/>
    </w:pPr>
    <w:rPr>
      <w:rFonts w:ascii="楷体_GB2312" w:hAnsi="Calibri" w:eastAsia="楷体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paragraph" w:customStyle="1" w:styleId="7">
    <w:name w:val="BodyTextIndent"/>
    <w:next w:val="8"/>
    <w:qFormat/>
    <w:uiPriority w:val="0"/>
    <w:pPr>
      <w:widowControl w:val="0"/>
      <w:suppressAutoHyphens/>
      <w:bidi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EnvelopeReturn"/>
    <w:qFormat/>
    <w:uiPriority w:val="0"/>
    <w:pPr>
      <w:widowControl w:val="0"/>
      <w:suppressAutoHyphens/>
      <w:bidi w:val="0"/>
      <w:snapToGrid w:val="0"/>
      <w:jc w:val="both"/>
      <w:textAlignment w:val="baseline"/>
    </w:pPr>
    <w:rPr>
      <w:rFonts w:ascii="Arial" w:hAnsi="Arial" w:eastAsia="宋体" w:cs="Times New Roman"/>
      <w:color w:val="auto"/>
      <w:kern w:val="2"/>
      <w:sz w:val="21"/>
      <w:szCs w:val="22"/>
      <w:lang w:val="en-US" w:eastAsia="zh-CN" w:bidi="ar-SA"/>
    </w:rPr>
  </w:style>
  <w:style w:type="paragraph" w:customStyle="1" w:styleId="9">
    <w:name w:val="Table Text"/>
    <w:semiHidden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2026-01-29T06:48:00Z</dcterms:created>
  <dc:creator>何玉清</dc:creator>
  <cp:lastModifiedBy>何玉清</cp:lastModifiedBy>
  <dcterms:modified xsi:type="dcterms:W3CDTF">2026-01-29T06:49:08Z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2D7668C52AEF4BBC925C35EA97BBAA35_11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