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A8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/>
        <w:textAlignment w:val="auto"/>
      </w:pPr>
      <w:r>
        <w:t>附件1</w:t>
      </w:r>
    </w:p>
    <w:p w14:paraId="742E725A">
      <w:pPr>
        <w:pStyle w:val="3"/>
      </w:pPr>
      <w:bookmarkStart w:id="0" w:name="OLE_LINK3"/>
      <w:r>
        <w:t>第一届全国农科英才创新创业大赛</w:t>
      </w:r>
      <w:bookmarkEnd w:id="0"/>
      <w:r>
        <w:t>项目名单</w:t>
      </w:r>
    </w:p>
    <w:p w14:paraId="3BF99013">
      <w:pPr>
        <w:pStyle w:val="27"/>
        <w:rPr>
          <w:rFonts w:hint="eastAsia"/>
        </w:rPr>
      </w:pPr>
    </w:p>
    <w:tbl>
      <w:tblPr>
        <w:tblStyle w:val="18"/>
        <w:tblW w:w="9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3865"/>
        <w:gridCol w:w="2154"/>
        <w:gridCol w:w="1070"/>
        <w:gridCol w:w="1238"/>
      </w:tblGrid>
      <w:tr w14:paraId="5415C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5D9D0C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617C9D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  <w:lang w:val="en-US" w:eastAsia="zh-CN"/>
              </w:rPr>
              <w:t>项目名称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137CB7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  <w:lang w:val="en-US" w:eastAsia="zh-CN"/>
              </w:rPr>
              <w:t>项目负责人单位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8A212D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  <w:lang w:val="en-US" w:eastAsia="zh-CN"/>
              </w:rPr>
              <w:t>项目组别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8E875D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  <w:lang w:val="en-US" w:eastAsia="zh-CN"/>
              </w:rPr>
              <w:t>项目负责人</w:t>
            </w:r>
          </w:p>
        </w:tc>
      </w:tr>
      <w:tr w14:paraId="6CCCD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6A6939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9413A7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羊繁启航—种羊高效繁育领航者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5588F1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西北农林科技大学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42056A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创意组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CE18358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李  信</w:t>
            </w:r>
          </w:p>
        </w:tc>
      </w:tr>
      <w:tr w14:paraId="7243D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23340D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7E6212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低升糖功能稻米品种研发及产业推广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A232A7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中国农业科学院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9015E8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创意组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B6F12C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杨记磙</w:t>
            </w:r>
          </w:p>
        </w:tc>
      </w:tr>
      <w:tr w14:paraId="5A55D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970751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9D7D63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量田万亩 加速育种 全部位-宏微观-地空协同”的高通量作物表型测量平台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C5FC72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华中农业大学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DBDB03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创意组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815EC34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贾志强</w:t>
            </w:r>
          </w:p>
        </w:tc>
      </w:tr>
      <w:tr w14:paraId="058B1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E75BEE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414EB3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功能西瓜——托起乡村振兴致富梦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EA9D2E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安徽科技学院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BFD73B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创意组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5ED2BF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钱  程</w:t>
            </w:r>
          </w:p>
        </w:tc>
      </w:tr>
      <w:tr w14:paraId="08111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43E3C6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7F7DB4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乡牧云医一云端赋能基层兽医服务团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A8603C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安徽农业大学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828A95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创意组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7B26DC9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李诗怡</w:t>
            </w:r>
          </w:p>
        </w:tc>
      </w:tr>
      <w:tr w14:paraId="16C71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26D709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5B27DA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蜂盾—蜜蜂农药中毒防控领航者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15E359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安徽农业大学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D9BCFE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创意组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A24F8B6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何肖石</w:t>
            </w:r>
          </w:p>
        </w:tc>
      </w:tr>
      <w:tr w14:paraId="147F1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7F6F38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1FE7AE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机育良种——新一代具身智能育种机器人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9CEC46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中国农业大学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2195AC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创意组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1EEEA24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韩香江</w:t>
            </w:r>
          </w:p>
        </w:tc>
      </w:tr>
      <w:tr w14:paraId="1D1DC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17CA74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422DA2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智农护盾——机器视觉与 AI 深度赋能农业保险应急防控领航者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9AA274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安徽农业大学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5369F1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创意组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DEBBCD5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杨湘怡</w:t>
            </w:r>
          </w:p>
        </w:tc>
      </w:tr>
      <w:tr w14:paraId="248EE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D72509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E28628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禾源精算——面向稻田的智能管控决策系统创新及应用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570EAD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安徽农业大学信息与人工智能学院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67817A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创意组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1457201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钱杨进</w:t>
            </w:r>
          </w:p>
        </w:tc>
      </w:tr>
      <w:tr w14:paraId="521D8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74AAB3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E5BA96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大稻至简——一次轻简施肥，一生精准供肥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1CC23C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南京农业大学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B08DE1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创意组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A07C242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吴佳璠</w:t>
            </w:r>
          </w:p>
        </w:tc>
      </w:tr>
      <w:tr w14:paraId="24BAD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CA552B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CD96DA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木糖醇绿色生物合成技术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2C2B8C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淮北师范大学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89B945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创意组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B289089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张标</w:t>
            </w:r>
          </w:p>
        </w:tc>
      </w:tr>
      <w:tr w14:paraId="59E31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1F598D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376B08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铁载丰禾-药食同源的铁载体引领者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E3878B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中国农业大学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07EE9F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创意组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BD0383F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魏莎尚</w:t>
            </w:r>
          </w:p>
        </w:tc>
      </w:tr>
      <w:tr w14:paraId="48BB3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AD8B98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DA2BDE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靶定稻安——“AI-靶向”双驱动新型绿色杀菌剂的创制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E24161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中国农业大学理学院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AEE05C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创意组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EAAC00D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王  娜</w:t>
            </w:r>
          </w:p>
        </w:tc>
      </w:tr>
      <w:tr w14:paraId="45C00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54BA2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7C6093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初露锋“虻”——新型生物法利用固体废弃物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515C8E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安庆师范大学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19E95F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创意组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243E3C8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汪  倩</w:t>
            </w:r>
          </w:p>
        </w:tc>
      </w:tr>
      <w:tr w14:paraId="1E432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2F07A9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14AE07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神农护禾—绿色靶向农药开创者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F3D7CB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南京农业大学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41C2F9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创意组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28F26C1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王俊杰</w:t>
            </w:r>
          </w:p>
        </w:tc>
      </w:tr>
      <w:tr w14:paraId="3D8BD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87A313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DD3A39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植物源鲑降钙素生物反应器的研发与市场前景分析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F4B718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中国农业科学院生物技术研究所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1DB40A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创意组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307FFD6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王梦雨</w:t>
            </w:r>
          </w:p>
        </w:tc>
      </w:tr>
      <w:tr w14:paraId="77935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AB0347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FE19B7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鳖具匠心—帝王养生汤引领甲鱼产业升级新标杆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42FE22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水之灵健康产业发展（安徽）集团有限公司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6D8BF5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初创组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808E9AF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张为明</w:t>
            </w:r>
          </w:p>
        </w:tc>
      </w:tr>
      <w:tr w14:paraId="64E57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2D08A5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615070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秸秆赋能：新型非织造秸秆毯的产业化应用与推广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086E5A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芜湖福传农味农业发展有限公司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E03557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初创组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50E2F46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谢福传</w:t>
            </w:r>
          </w:p>
        </w:tc>
      </w:tr>
      <w:tr w14:paraId="7D3C3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F0429C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245051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石绽金钗，漠蕴有机——中华仙草造就石漠奇迹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2EB324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南京耕创生态农业科技有限公司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3E6D1A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初创组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CC1E8B8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杨纪潇</w:t>
            </w:r>
          </w:p>
        </w:tc>
      </w:tr>
      <w:tr w14:paraId="453F8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77BF32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B4C31F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智控低温，领鲜健康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A700CF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南京农业大学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62DB37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初创组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0ACD78A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冯  夏</w:t>
            </w:r>
          </w:p>
        </w:tc>
      </w:tr>
      <w:tr w14:paraId="64829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FFC64E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39F39B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农机装备及农用车辆柔性激光精密制造装备研发及产业化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AA8E6C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安徽航邛工邗智能科技有限公司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F134E7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初创组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2BCCA74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张  松</w:t>
            </w:r>
          </w:p>
        </w:tc>
      </w:tr>
      <w:tr w14:paraId="1F47E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E6F0D2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F02B4D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智慧农业卫星遥感天眼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54990A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厦门岙邗科技有限公司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091A8F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初创组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B12BB99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陈妮桑</w:t>
            </w:r>
          </w:p>
        </w:tc>
      </w:tr>
      <w:tr w14:paraId="79FC9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A295D0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878FDB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基于智慧农业废水纳米DTRO新能源系统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7764C6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清华大学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300EE9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初创组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67E30A4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朱雪涛</w:t>
            </w:r>
          </w:p>
        </w:tc>
      </w:tr>
      <w:tr w14:paraId="08F90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1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2EB5E4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0D9373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多模态数据融合提升肉牛产业链现代化水平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63B899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安徽徽牛云科技有限公司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F80DF4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初创组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FABA715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王梦溪</w:t>
            </w:r>
          </w:p>
        </w:tc>
      </w:tr>
      <w:tr w14:paraId="6690A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A474B5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BCBEA8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全宇宙数科智碳生物材料集成产业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033647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淮南市大禾新材料技术有限公司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8EC23A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初创组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52AE31E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乔双雨</w:t>
            </w:r>
          </w:p>
        </w:tc>
      </w:tr>
      <w:tr w14:paraId="66122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EC2657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D21D47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数据赋“农”，“芯”见未来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9CBC2C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安徽省小岗高科种业有限公司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E3A877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初创组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F0B7626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彭玉龙</w:t>
            </w:r>
          </w:p>
        </w:tc>
      </w:tr>
      <w:tr w14:paraId="651B4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115A8C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9ADEBA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星萤夜花——全国首个夜晚自发光植物技术应用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0C69E4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合肥神笔生物科技有限公司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1CF38A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初创组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9155B69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李仁汉</w:t>
            </w:r>
          </w:p>
        </w:tc>
      </w:tr>
      <w:tr w14:paraId="291A7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A09C4B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C547B3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基于植物反应器的合成生物学平台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731CFD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香港大学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E7CCA7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初创组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D6EED87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汪绍锟</w:t>
            </w:r>
          </w:p>
        </w:tc>
      </w:tr>
      <w:tr w14:paraId="293A7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438CEF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78D0DF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心有灵蜥——全球蜥蜴多品种研发与产业化的缔造者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A93837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安徽农业大学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59CA46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初创组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8EB964A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郑庆雨</w:t>
            </w:r>
          </w:p>
        </w:tc>
      </w:tr>
      <w:tr w14:paraId="51031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BDBA4A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765691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高性能丝瓜基软体家具整体解决方案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415088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安徽乐福儿家居科技有限公司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C25A53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初创组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6F93596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王嘉晨</w:t>
            </w:r>
          </w:p>
        </w:tc>
      </w:tr>
      <w:tr w14:paraId="1AD82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3FEA60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3EE7F4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基于裸藻细胞工厂的高值配料兼容性生物制造及其应用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FB27CE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北京藻辰生物科技有限公司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0B2FF5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初创组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58FFE82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郑炎培</w:t>
            </w:r>
          </w:p>
        </w:tc>
      </w:tr>
      <w:tr w14:paraId="030E9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C6D430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B5A4C8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倍味美——用“芯”领先世界“番”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AB8890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华中农业大学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662D02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初创组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50C6D4A">
            <w:pPr>
              <w:pStyle w:val="13"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冉家俊</w:t>
            </w:r>
          </w:p>
        </w:tc>
      </w:tr>
    </w:tbl>
    <w:p w14:paraId="59DCB911">
      <w:r>
        <w:br w:type="page"/>
      </w:r>
    </w:p>
    <w:p w14:paraId="01CC4064">
      <w:pPr>
        <w:pStyle w:val="26"/>
        <w:pageBreakBefore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  <w:bookmarkStart w:id="1" w:name="_GoBack"/>
      <w:bookmarkEnd w:id="1"/>
    </w:p>
    <w:p w14:paraId="3B3F44F7">
      <w:pPr>
        <w:spacing w:before="870"/>
        <w:jc w:val="center"/>
      </w:pPr>
      <w:r>
        <w:t>第一届全国农科英才创新创业大赛评审规则</w:t>
      </w:r>
    </w:p>
    <w:p w14:paraId="054597CB">
      <w:pPr>
        <w:pStyle w:val="27"/>
        <w:jc w:val="both"/>
        <w:rPr>
          <w:rFonts w:ascii="楷体_GB2312" w:hAnsi="楷体_GB2312" w:eastAsia="楷体_GB2312" w:cs="楷体_GB2312"/>
        </w:rPr>
      </w:pPr>
    </w:p>
    <w:p w14:paraId="59DCF4FA">
      <w:pPr>
        <w:pStyle w:val="27"/>
      </w:pPr>
      <w:r>
        <w:t>创意组</w:t>
      </w:r>
    </w:p>
    <w:tbl>
      <w:tblPr>
        <w:tblStyle w:val="1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6462"/>
        <w:gridCol w:w="930"/>
      </w:tblGrid>
      <w:tr w14:paraId="520E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19" w:type="pct"/>
            <w:tcMar>
              <w:left w:w="108" w:type="dxa"/>
              <w:right w:w="108" w:type="dxa"/>
            </w:tcMar>
            <w:vAlign w:val="center"/>
          </w:tcPr>
          <w:p w14:paraId="0CAEF76F">
            <w:pPr>
              <w:snapToGrid w:val="0"/>
              <w:spacing w:before="0" w:beforeLines="0" w:line="240" w:lineRule="auto"/>
              <w:jc w:val="center"/>
              <w:rPr>
                <w:rFonts w:ascii="Times New Roman" w:hAnsi="Times New Roman" w:eastAsia="黑体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sz w:val="24"/>
              </w:rPr>
              <w:t>评审要点</w:t>
            </w:r>
          </w:p>
        </w:tc>
        <w:tc>
          <w:tcPr>
            <w:tcW w:w="3566" w:type="pct"/>
            <w:tcMar>
              <w:left w:w="108" w:type="dxa"/>
              <w:right w:w="108" w:type="dxa"/>
            </w:tcMar>
            <w:vAlign w:val="center"/>
          </w:tcPr>
          <w:p w14:paraId="2F572448">
            <w:pPr>
              <w:snapToGrid w:val="0"/>
              <w:spacing w:before="0" w:beforeLines="0" w:line="240" w:lineRule="auto"/>
              <w:jc w:val="center"/>
              <w:rPr>
                <w:rFonts w:ascii="Times New Roman" w:hAnsi="Times New Roman" w:eastAsia="黑体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sz w:val="24"/>
              </w:rPr>
              <w:t>评审内容</w:t>
            </w:r>
          </w:p>
        </w:tc>
        <w:tc>
          <w:tcPr>
            <w:tcW w:w="513" w:type="pct"/>
            <w:tcMar>
              <w:left w:w="108" w:type="dxa"/>
              <w:right w:w="108" w:type="dxa"/>
            </w:tcMar>
            <w:vAlign w:val="center"/>
          </w:tcPr>
          <w:p w14:paraId="3D17B885">
            <w:pPr>
              <w:snapToGrid w:val="0"/>
              <w:spacing w:before="0" w:beforeLines="0" w:line="240" w:lineRule="auto"/>
              <w:jc w:val="center"/>
              <w:rPr>
                <w:rFonts w:ascii="Times New Roman" w:hAnsi="Times New Roman" w:eastAsia="黑体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sz w:val="24"/>
              </w:rPr>
              <w:t>分值</w:t>
            </w:r>
          </w:p>
        </w:tc>
      </w:tr>
      <w:tr w14:paraId="11AF7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Mar>
              <w:left w:w="108" w:type="dxa"/>
              <w:right w:w="108" w:type="dxa"/>
            </w:tcMar>
            <w:vAlign w:val="center"/>
          </w:tcPr>
          <w:p w14:paraId="16792C54">
            <w:pPr>
              <w:snapToGrid w:val="0"/>
              <w:spacing w:before="0" w:beforeLines="0" w:line="240" w:lineRule="auto"/>
              <w:jc w:val="both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项目创新</w:t>
            </w:r>
          </w:p>
        </w:tc>
        <w:tc>
          <w:tcPr>
            <w:tcW w:w="3566" w:type="pct"/>
            <w:tcMar>
              <w:left w:w="108" w:type="dxa"/>
              <w:right w:w="108" w:type="dxa"/>
            </w:tcMar>
            <w:vAlign w:val="center"/>
          </w:tcPr>
          <w:p w14:paraId="41A63D00">
            <w:pPr>
              <w:snapToGrid w:val="0"/>
              <w:spacing w:before="0" w:beforeLines="0" w:line="240" w:lineRule="auto"/>
              <w:jc w:val="both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</w:rPr>
              <w:t>原创与前瞻：</w:t>
            </w:r>
            <w:r>
              <w:rPr>
                <w:rFonts w:hint="eastAsia" w:ascii="Times New Roman" w:hAnsi="Times New Roman" w:cs="仿宋_GB2312"/>
                <w:sz w:val="24"/>
              </w:rPr>
              <w:t>项目能够从产品创新、工艺流程创新、服务创新、商业模式创新等方面着手开展创新创业实践，并产生一定数量和质量的创新成果以体现团队的创新力。</w:t>
            </w:r>
          </w:p>
          <w:p w14:paraId="217F0277">
            <w:pPr>
              <w:snapToGrid w:val="0"/>
              <w:spacing w:before="0" w:beforeLines="0" w:line="240" w:lineRule="auto"/>
              <w:jc w:val="both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</w:rPr>
              <w:t>技术壁垒：</w:t>
            </w:r>
            <w:r>
              <w:rPr>
                <w:rFonts w:hint="eastAsia" w:ascii="Times New Roman" w:hAnsi="Times New Roman" w:cs="仿宋_GB2312"/>
                <w:sz w:val="24"/>
              </w:rPr>
              <w:t>考察项目在技术、产品和服务方面的核心竞争力与技术难度。</w:t>
            </w:r>
          </w:p>
        </w:tc>
        <w:tc>
          <w:tcPr>
            <w:tcW w:w="513" w:type="pct"/>
            <w:tcMar>
              <w:left w:w="108" w:type="dxa"/>
              <w:right w:w="108" w:type="dxa"/>
            </w:tcMar>
            <w:vAlign w:val="center"/>
          </w:tcPr>
          <w:p w14:paraId="208E646D">
            <w:pPr>
              <w:snapToGrid w:val="0"/>
              <w:spacing w:before="0" w:beforeLines="0" w:line="240" w:lineRule="auto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40</w:t>
            </w:r>
          </w:p>
        </w:tc>
      </w:tr>
      <w:tr w14:paraId="353F7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97B0CA">
            <w:pPr>
              <w:snapToGrid w:val="0"/>
              <w:spacing w:before="0" w:beforeLines="0" w:line="240" w:lineRule="auto"/>
              <w:jc w:val="both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产业认知与商业价值</w:t>
            </w:r>
          </w:p>
        </w:tc>
        <w:tc>
          <w:tcPr>
            <w:tcW w:w="3566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65EC61">
            <w:pPr>
              <w:snapToGrid w:val="0"/>
              <w:spacing w:before="0" w:beforeLines="0" w:line="240" w:lineRule="auto"/>
              <w:jc w:val="both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</w:rPr>
              <w:t>产业认知：</w:t>
            </w:r>
            <w:r>
              <w:rPr>
                <w:rFonts w:hint="eastAsia" w:ascii="Times New Roman" w:hAnsi="Times New Roman" w:cs="仿宋_GB2312"/>
                <w:sz w:val="24"/>
              </w:rPr>
              <w:t>项目是否对所处行业的规模、增长趋势、竞争格局、产业趋势、产业政策等情况有充分的了解。</w:t>
            </w:r>
          </w:p>
          <w:p w14:paraId="412A2B84">
            <w:pPr>
              <w:snapToGrid w:val="0"/>
              <w:spacing w:before="0" w:beforeLines="0" w:line="240" w:lineRule="auto"/>
              <w:jc w:val="both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</w:rPr>
              <w:t>市场定位：</w:t>
            </w:r>
            <w:r>
              <w:rPr>
                <w:rFonts w:hint="eastAsia" w:ascii="Times New Roman" w:hAnsi="Times New Roman" w:cs="仿宋_GB2312"/>
                <w:sz w:val="24"/>
              </w:rPr>
              <w:t>项目具有明确的目标市场定位，对目标市场的特征、需求等情况有清晰的了解，并据此制定合理的营销、运营、财务等计划，设计出完整、创新、可行的商业模式，展现团队的商业思维。</w:t>
            </w:r>
          </w:p>
          <w:p w14:paraId="09D43E79">
            <w:pPr>
              <w:snapToGrid w:val="0"/>
              <w:spacing w:before="0" w:beforeLines="0" w:line="240" w:lineRule="auto"/>
              <w:jc w:val="both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</w:rPr>
              <w:t>商业模式</w:t>
            </w:r>
            <w:r>
              <w:rPr>
                <w:rFonts w:ascii="Times New Roman" w:hAnsi="Times New Roman" w:cs="仿宋_GB2312"/>
                <w:b/>
                <w:bCs/>
                <w:sz w:val="24"/>
              </w:rPr>
              <w:t>：</w:t>
            </w:r>
            <w:r>
              <w:rPr>
                <w:rFonts w:ascii="Times New Roman" w:hAnsi="Times New Roman" w:cs="仿宋_GB2312"/>
                <w:sz w:val="24"/>
              </w:rPr>
              <w:t>商业计划是否完整描述了盈利模式，并在机会识别、竞争合作、技术基础等方面具备可行性</w:t>
            </w:r>
          </w:p>
        </w:tc>
        <w:tc>
          <w:tcPr>
            <w:tcW w:w="513" w:type="pct"/>
            <w:tcMar>
              <w:left w:w="108" w:type="dxa"/>
              <w:right w:w="108" w:type="dxa"/>
            </w:tcMar>
            <w:vAlign w:val="center"/>
          </w:tcPr>
          <w:p w14:paraId="2E6D616E">
            <w:pPr>
              <w:snapToGrid w:val="0"/>
              <w:spacing w:before="0" w:beforeLines="0" w:line="240" w:lineRule="auto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20</w:t>
            </w:r>
          </w:p>
        </w:tc>
      </w:tr>
      <w:tr w14:paraId="79F2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046147">
            <w:pPr>
              <w:snapToGrid w:val="0"/>
              <w:spacing w:before="0" w:beforeLines="0" w:line="240" w:lineRule="auto"/>
              <w:jc w:val="both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落地可行性</w:t>
            </w:r>
          </w:p>
        </w:tc>
        <w:tc>
          <w:tcPr>
            <w:tcW w:w="3566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14CCFD">
            <w:pPr>
              <w:snapToGrid w:val="0"/>
              <w:spacing w:before="0" w:beforeLines="0" w:line="240" w:lineRule="auto"/>
              <w:jc w:val="both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</w:rPr>
              <w:t>技术或模式的可验证性：</w:t>
            </w:r>
            <w:r>
              <w:rPr>
                <w:rFonts w:hint="eastAsia" w:ascii="Times New Roman" w:hAnsi="Times New Roman" w:cs="仿宋_GB2312"/>
                <w:sz w:val="24"/>
              </w:rPr>
              <w:t>技术成熟度；小试／中试情况；是否已开发出最简化可用的产品或服务，以及用户反馈。</w:t>
            </w:r>
          </w:p>
          <w:p w14:paraId="2708EAD7">
            <w:pPr>
              <w:snapToGrid w:val="0"/>
              <w:spacing w:before="0" w:beforeLines="0" w:line="240" w:lineRule="auto"/>
              <w:jc w:val="both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</w:rPr>
              <w:t>落地计划的清晰性：</w:t>
            </w:r>
            <w:r>
              <w:rPr>
                <w:rFonts w:hint="eastAsia" w:ascii="Times New Roman" w:hAnsi="Times New Roman" w:cs="仿宋_GB2312"/>
                <w:sz w:val="24"/>
              </w:rPr>
              <w:t>清晰地认知到项目落地所需的</w:t>
            </w:r>
            <w:r>
              <w:rPr>
                <w:rFonts w:ascii="Times New Roman" w:hAnsi="Times New Roman" w:cs="仿宋_GB2312"/>
                <w:sz w:val="24"/>
              </w:rPr>
              <w:t>关键资源</w:t>
            </w:r>
            <w:r>
              <w:rPr>
                <w:rFonts w:hint="eastAsia" w:ascii="Times New Roman" w:hAnsi="Times New Roman" w:cs="仿宋_GB2312"/>
                <w:sz w:val="24"/>
              </w:rPr>
              <w:t>；有清晰的、分阶段的落地路线图；识别了落地过程中可能面临的主要风险（如技术风险、政策风险、市场接受度风险）</w:t>
            </w:r>
          </w:p>
        </w:tc>
        <w:tc>
          <w:tcPr>
            <w:tcW w:w="513" w:type="pct"/>
            <w:tcMar>
              <w:left w:w="108" w:type="dxa"/>
              <w:right w:w="108" w:type="dxa"/>
            </w:tcMar>
            <w:vAlign w:val="center"/>
          </w:tcPr>
          <w:p w14:paraId="1C260749">
            <w:pPr>
              <w:snapToGrid w:val="0"/>
              <w:spacing w:before="0" w:beforeLines="0" w:line="240" w:lineRule="auto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20</w:t>
            </w:r>
          </w:p>
        </w:tc>
      </w:tr>
      <w:tr w14:paraId="4FC6C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Mar>
              <w:left w:w="108" w:type="dxa"/>
              <w:right w:w="108" w:type="dxa"/>
            </w:tcMar>
            <w:vAlign w:val="center"/>
          </w:tcPr>
          <w:p w14:paraId="5B85F85C">
            <w:pPr>
              <w:snapToGrid w:val="0"/>
              <w:spacing w:before="0" w:beforeLines="0" w:line="240" w:lineRule="auto"/>
              <w:jc w:val="both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团队协作</w:t>
            </w:r>
          </w:p>
        </w:tc>
        <w:tc>
          <w:tcPr>
            <w:tcW w:w="3566" w:type="pct"/>
            <w:tcMar>
              <w:left w:w="108" w:type="dxa"/>
              <w:right w:w="108" w:type="dxa"/>
            </w:tcMar>
            <w:vAlign w:val="center"/>
          </w:tcPr>
          <w:p w14:paraId="3D95BD0F">
            <w:pPr>
              <w:snapToGrid w:val="0"/>
              <w:spacing w:before="0" w:beforeLines="0" w:line="240" w:lineRule="auto"/>
              <w:jc w:val="both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</w:rPr>
              <w:t>团队背景与协作：</w:t>
            </w:r>
            <w:r>
              <w:rPr>
                <w:rFonts w:hint="eastAsia" w:ascii="Times New Roman" w:hAnsi="Times New Roman" w:cs="仿宋_GB2312"/>
                <w:sz w:val="24"/>
              </w:rPr>
              <w:t>考察团队成员的教育背景、专业能力、分工协作与业务互补情况。</w:t>
            </w:r>
          </w:p>
          <w:p w14:paraId="3482C7E9">
            <w:pPr>
              <w:snapToGrid w:val="0"/>
              <w:spacing w:before="0" w:beforeLines="0" w:line="240" w:lineRule="auto"/>
              <w:jc w:val="both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</w:rPr>
              <w:t>资源整合：</w:t>
            </w:r>
            <w:r>
              <w:rPr>
                <w:rFonts w:hint="eastAsia" w:ascii="Times New Roman" w:hAnsi="Times New Roman" w:cs="仿宋_GB2312"/>
                <w:sz w:val="24"/>
              </w:rPr>
              <w:t>团队是否具备实现创意的可能资源基础，以及有效利用合作伙伴等外部资源的能力。</w:t>
            </w:r>
          </w:p>
        </w:tc>
        <w:tc>
          <w:tcPr>
            <w:tcW w:w="513" w:type="pct"/>
            <w:tcMar>
              <w:left w:w="108" w:type="dxa"/>
              <w:right w:w="108" w:type="dxa"/>
            </w:tcMar>
            <w:vAlign w:val="center"/>
          </w:tcPr>
          <w:p w14:paraId="183BF8DC">
            <w:pPr>
              <w:snapToGrid w:val="0"/>
              <w:spacing w:before="0" w:beforeLines="0" w:line="240" w:lineRule="auto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10</w:t>
            </w:r>
          </w:p>
        </w:tc>
      </w:tr>
      <w:tr w14:paraId="7F369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Mar>
              <w:left w:w="108" w:type="dxa"/>
              <w:right w:w="108" w:type="dxa"/>
            </w:tcMar>
            <w:vAlign w:val="center"/>
          </w:tcPr>
          <w:p w14:paraId="16DE5641">
            <w:pPr>
              <w:snapToGrid w:val="0"/>
              <w:spacing w:before="0" w:beforeLines="0" w:line="240" w:lineRule="auto"/>
              <w:jc w:val="both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社会价值</w:t>
            </w:r>
          </w:p>
        </w:tc>
        <w:tc>
          <w:tcPr>
            <w:tcW w:w="3566" w:type="pct"/>
            <w:tcMar>
              <w:left w:w="108" w:type="dxa"/>
              <w:right w:w="108" w:type="dxa"/>
            </w:tcMar>
            <w:vAlign w:val="center"/>
          </w:tcPr>
          <w:p w14:paraId="6A9FCBC9">
            <w:pPr>
              <w:snapToGrid w:val="0"/>
              <w:spacing w:before="0" w:beforeLines="0" w:line="240" w:lineRule="auto"/>
              <w:jc w:val="both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</w:rPr>
              <w:t>产业带动：</w:t>
            </w:r>
            <w:r>
              <w:rPr>
                <w:rFonts w:hint="eastAsia" w:ascii="Times New Roman" w:hAnsi="Times New Roman" w:cs="仿宋_GB2312"/>
                <w:sz w:val="24"/>
              </w:rPr>
              <w:t>预期带动产业提升的成效。</w:t>
            </w:r>
          </w:p>
          <w:p w14:paraId="0F59C580">
            <w:pPr>
              <w:snapToGrid w:val="0"/>
              <w:spacing w:before="0" w:beforeLines="0" w:line="240" w:lineRule="auto"/>
              <w:jc w:val="both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</w:rPr>
              <w:t>就业与公益：</w:t>
            </w:r>
            <w:r>
              <w:rPr>
                <w:rFonts w:hint="eastAsia" w:ascii="Times New Roman" w:hAnsi="Times New Roman" w:cs="仿宋_GB2312"/>
                <w:sz w:val="24"/>
              </w:rPr>
              <w:t>预估项目成功后可带动社会就业的能力，以及对农业强国建设、乡村振兴的社会效益。</w:t>
            </w:r>
          </w:p>
        </w:tc>
        <w:tc>
          <w:tcPr>
            <w:tcW w:w="513" w:type="pct"/>
            <w:tcMar>
              <w:left w:w="108" w:type="dxa"/>
              <w:right w:w="108" w:type="dxa"/>
            </w:tcMar>
            <w:vAlign w:val="center"/>
          </w:tcPr>
          <w:p w14:paraId="01FA6D0F">
            <w:pPr>
              <w:snapToGrid w:val="0"/>
              <w:spacing w:before="0" w:beforeLines="0" w:line="240" w:lineRule="auto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10</w:t>
            </w:r>
          </w:p>
        </w:tc>
      </w:tr>
    </w:tbl>
    <w:p w14:paraId="6D26B7CD">
      <w:pPr>
        <w:widowControl/>
        <w:spacing w:before="0" w:beforeLines="0"/>
        <w:rPr>
          <w:rFonts w:ascii="Times New Roman" w:hAnsi="Times New Roman"/>
        </w:rPr>
      </w:pPr>
    </w:p>
    <w:p w14:paraId="0166218C">
      <w:pPr>
        <w:widowControl/>
        <w:spacing w:before="0" w:beforeLines="0"/>
        <w:rPr>
          <w:rFonts w:ascii="Times New Roman" w:hAnsi="Times New Roman" w:eastAsia="黑体" w:cs="仿宋_GB2312"/>
          <w:bCs/>
          <w:szCs w:val="32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06" w:h="16838"/>
          <w:pgMar w:top="2098" w:right="1474" w:bottom="1984" w:left="1587" w:header="851" w:footer="1417" w:gutter="0"/>
          <w:pgNumType w:start="1"/>
          <w:cols w:space="425" w:num="1"/>
          <w:docGrid w:type="linesAndChars" w:linePitch="435" w:charSpace="0"/>
        </w:sectPr>
      </w:pPr>
    </w:p>
    <w:p w14:paraId="4621A4E4">
      <w:pPr>
        <w:pStyle w:val="27"/>
      </w:pPr>
      <w:r>
        <w:t>初创组</w:t>
      </w:r>
    </w:p>
    <w:tbl>
      <w:tblPr>
        <w:tblStyle w:val="19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6451"/>
        <w:gridCol w:w="935"/>
      </w:tblGrid>
      <w:tr w14:paraId="418D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22" w:type="pct"/>
            <w:tcMar>
              <w:left w:w="108" w:type="dxa"/>
              <w:right w:w="108" w:type="dxa"/>
            </w:tcMar>
            <w:vAlign w:val="center"/>
          </w:tcPr>
          <w:p w14:paraId="13BF9F0A">
            <w:pPr>
              <w:widowControl/>
              <w:snapToGrid w:val="0"/>
              <w:spacing w:before="0" w:beforeLines="0" w:line="240" w:lineRule="auto"/>
              <w:jc w:val="center"/>
              <w:rPr>
                <w:rFonts w:ascii="Times New Roman" w:hAnsi="Times New Roman" w:eastAsia="黑体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sz w:val="24"/>
              </w:rPr>
              <w:t>评审要点</w:t>
            </w:r>
          </w:p>
        </w:tc>
        <w:tc>
          <w:tcPr>
            <w:tcW w:w="3561" w:type="pct"/>
            <w:tcMar>
              <w:left w:w="108" w:type="dxa"/>
              <w:right w:w="108" w:type="dxa"/>
            </w:tcMar>
            <w:vAlign w:val="center"/>
          </w:tcPr>
          <w:p w14:paraId="39450A44">
            <w:pPr>
              <w:widowControl/>
              <w:snapToGrid w:val="0"/>
              <w:spacing w:before="0" w:beforeLines="0" w:line="240" w:lineRule="auto"/>
              <w:jc w:val="center"/>
              <w:rPr>
                <w:rFonts w:ascii="Times New Roman" w:hAnsi="Times New Roman" w:eastAsia="黑体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sz w:val="24"/>
              </w:rPr>
              <w:t>评审内容</w:t>
            </w:r>
          </w:p>
        </w:tc>
        <w:tc>
          <w:tcPr>
            <w:tcW w:w="516" w:type="pct"/>
            <w:tcMar>
              <w:left w:w="108" w:type="dxa"/>
              <w:right w:w="108" w:type="dxa"/>
            </w:tcMar>
            <w:vAlign w:val="center"/>
          </w:tcPr>
          <w:p w14:paraId="28A79F0F">
            <w:pPr>
              <w:widowControl/>
              <w:snapToGrid w:val="0"/>
              <w:spacing w:before="0" w:beforeLines="0" w:line="240" w:lineRule="auto"/>
              <w:jc w:val="center"/>
              <w:rPr>
                <w:rFonts w:ascii="Times New Roman" w:hAnsi="Times New Roman" w:eastAsia="黑体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sz w:val="24"/>
              </w:rPr>
              <w:t>分值</w:t>
            </w:r>
          </w:p>
        </w:tc>
      </w:tr>
      <w:tr w14:paraId="3E03B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pct"/>
            <w:tcMar>
              <w:left w:w="108" w:type="dxa"/>
              <w:right w:w="108" w:type="dxa"/>
            </w:tcMar>
            <w:vAlign w:val="center"/>
          </w:tcPr>
          <w:p w14:paraId="751030B0">
            <w:pPr>
              <w:snapToGrid w:val="0"/>
              <w:spacing w:before="0" w:beforeLines="0" w:line="240" w:lineRule="auto"/>
              <w:jc w:val="both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项目创新</w:t>
            </w:r>
          </w:p>
        </w:tc>
        <w:tc>
          <w:tcPr>
            <w:tcW w:w="3561" w:type="pct"/>
            <w:tcMar>
              <w:left w:w="108" w:type="dxa"/>
              <w:right w:w="108" w:type="dxa"/>
            </w:tcMar>
            <w:vAlign w:val="center"/>
          </w:tcPr>
          <w:p w14:paraId="0928CDD2">
            <w:pPr>
              <w:snapToGrid w:val="0"/>
              <w:spacing w:before="0" w:beforeLines="0" w:line="240" w:lineRule="auto"/>
              <w:jc w:val="both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</w:rPr>
              <w:t>技术创新：</w:t>
            </w:r>
            <w:r>
              <w:rPr>
                <w:rFonts w:hint="eastAsia" w:ascii="Times New Roman" w:hAnsi="Times New Roman" w:cs="仿宋_GB2312"/>
                <w:sz w:val="24"/>
              </w:rPr>
              <w:t>考察项目所采用技术的先进性与独特性。团队是否基于专业知识解决实际需求，并在产品、工艺或服务等方面产生创新成果。</w:t>
            </w:r>
          </w:p>
          <w:p w14:paraId="7D6CAAC1">
            <w:pPr>
              <w:snapToGrid w:val="0"/>
              <w:spacing w:before="0" w:beforeLines="0" w:line="240" w:lineRule="auto"/>
              <w:jc w:val="both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</w:rPr>
              <w:t>创新管理：</w:t>
            </w:r>
            <w:r>
              <w:rPr>
                <w:rFonts w:hint="eastAsia" w:ascii="Times New Roman" w:hAnsi="Times New Roman" w:cs="仿宋_GB2312"/>
                <w:sz w:val="24"/>
              </w:rPr>
              <w:t>项目是否具备有效的创新战略、流程和组织文化，以保持公司的持续竞争力。</w:t>
            </w:r>
          </w:p>
        </w:tc>
        <w:tc>
          <w:tcPr>
            <w:tcW w:w="516" w:type="pct"/>
            <w:tcMar>
              <w:left w:w="108" w:type="dxa"/>
              <w:right w:w="108" w:type="dxa"/>
            </w:tcMar>
            <w:vAlign w:val="center"/>
          </w:tcPr>
          <w:p w14:paraId="4CDFBA87">
            <w:pPr>
              <w:snapToGrid w:val="0"/>
              <w:spacing w:before="0" w:beforeLines="0" w:line="240" w:lineRule="auto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30</w:t>
            </w:r>
          </w:p>
        </w:tc>
      </w:tr>
      <w:tr w14:paraId="11B91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pct"/>
            <w:tcMar>
              <w:left w:w="108" w:type="dxa"/>
              <w:right w:w="108" w:type="dxa"/>
            </w:tcMar>
            <w:vAlign w:val="center"/>
          </w:tcPr>
          <w:p w14:paraId="2F706364">
            <w:pPr>
              <w:snapToGrid w:val="0"/>
              <w:spacing w:before="0" w:beforeLines="0" w:line="240" w:lineRule="auto"/>
              <w:jc w:val="both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产业认知与商业价值</w:t>
            </w:r>
          </w:p>
        </w:tc>
        <w:tc>
          <w:tcPr>
            <w:tcW w:w="3561" w:type="pct"/>
            <w:tcMar>
              <w:left w:w="108" w:type="dxa"/>
              <w:right w:w="108" w:type="dxa"/>
            </w:tcMar>
            <w:vAlign w:val="center"/>
          </w:tcPr>
          <w:p w14:paraId="05A1D005">
            <w:pPr>
              <w:snapToGrid w:val="0"/>
              <w:spacing w:before="0" w:beforeLines="0" w:line="240" w:lineRule="auto"/>
              <w:jc w:val="both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</w:rPr>
              <w:t>经营绩效</w:t>
            </w:r>
            <w:r>
              <w:rPr>
                <w:rFonts w:hint="eastAsia" w:ascii="Times New Roman" w:hAnsi="Times New Roman" w:cs="仿宋_GB2312"/>
                <w:sz w:val="24"/>
              </w:rPr>
              <w:t>：重点考察企业的营业收入、利润、持续盈利能力、市场份额、客户情况、税收及投入产出比等硬性指标。</w:t>
            </w:r>
          </w:p>
          <w:p w14:paraId="2BB5F761">
            <w:pPr>
              <w:snapToGrid w:val="0"/>
              <w:spacing w:before="0" w:beforeLines="0" w:line="240" w:lineRule="auto"/>
              <w:jc w:val="both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</w:rPr>
              <w:t>商业模式：</w:t>
            </w:r>
            <w:r>
              <w:rPr>
                <w:rFonts w:hint="eastAsia" w:ascii="Times New Roman" w:hAnsi="Times New Roman" w:cs="仿宋_GB2312"/>
                <w:sz w:val="24"/>
              </w:rPr>
              <w:t>评估企业是否具备完整、创新且可行的商业模式，以及明确的目标市场定位。</w:t>
            </w:r>
          </w:p>
          <w:p w14:paraId="7EE01A7A">
            <w:pPr>
              <w:snapToGrid w:val="0"/>
              <w:spacing w:before="0" w:beforeLines="0" w:line="240" w:lineRule="auto"/>
              <w:jc w:val="both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</w:rPr>
              <w:t>成长性与财务：</w:t>
            </w:r>
            <w:r>
              <w:rPr>
                <w:rFonts w:hint="eastAsia" w:ascii="Times New Roman" w:hAnsi="Times New Roman" w:cs="仿宋_GB2312"/>
                <w:sz w:val="24"/>
              </w:rPr>
              <w:t>关注企业的发展战略、融资情况、现金流状况及资金使用的合理性</w:t>
            </w:r>
          </w:p>
        </w:tc>
        <w:tc>
          <w:tcPr>
            <w:tcW w:w="516" w:type="pct"/>
            <w:tcMar>
              <w:left w:w="108" w:type="dxa"/>
              <w:right w:w="108" w:type="dxa"/>
            </w:tcMar>
            <w:vAlign w:val="center"/>
          </w:tcPr>
          <w:p w14:paraId="7664BD24">
            <w:pPr>
              <w:snapToGrid w:val="0"/>
              <w:spacing w:before="0" w:beforeLines="0" w:line="240" w:lineRule="auto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30</w:t>
            </w:r>
          </w:p>
        </w:tc>
      </w:tr>
      <w:tr w14:paraId="60773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pct"/>
            <w:tcMar>
              <w:left w:w="108" w:type="dxa"/>
              <w:right w:w="108" w:type="dxa"/>
            </w:tcMar>
            <w:vAlign w:val="center"/>
          </w:tcPr>
          <w:p w14:paraId="04402814">
            <w:pPr>
              <w:snapToGrid w:val="0"/>
              <w:spacing w:before="0" w:beforeLines="0" w:line="240" w:lineRule="auto"/>
              <w:jc w:val="both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落地可行性</w:t>
            </w:r>
          </w:p>
        </w:tc>
        <w:tc>
          <w:tcPr>
            <w:tcW w:w="3561" w:type="pct"/>
            <w:tcMar>
              <w:left w:w="108" w:type="dxa"/>
              <w:right w:w="108" w:type="dxa"/>
            </w:tcMar>
            <w:vAlign w:val="center"/>
          </w:tcPr>
          <w:p w14:paraId="2C4E3AF8">
            <w:pPr>
              <w:snapToGrid w:val="0"/>
              <w:spacing w:before="0" w:beforeLines="0" w:line="240" w:lineRule="auto"/>
              <w:jc w:val="both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</w:rPr>
              <w:t>现有成果的市场验证：</w:t>
            </w:r>
            <w:r>
              <w:rPr>
                <w:rFonts w:hint="eastAsia" w:ascii="Times New Roman" w:hAnsi="Times New Roman" w:cs="仿宋_GB2312"/>
                <w:sz w:val="24"/>
              </w:rPr>
              <w:t>已有的成果转化成效、盈利能力或盈利潜力情况；具备可复制、可推广的潜力</w:t>
            </w:r>
          </w:p>
          <w:p w14:paraId="5038FC4E">
            <w:pPr>
              <w:snapToGrid w:val="0"/>
              <w:spacing w:before="0" w:beforeLines="0" w:line="240" w:lineRule="auto"/>
              <w:jc w:val="both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</w:rPr>
              <w:t>规模化生产与供应链能力：</w:t>
            </w:r>
            <w:r>
              <w:rPr>
                <w:rFonts w:hint="eastAsia" w:ascii="Times New Roman" w:hAnsi="Times New Roman" w:cs="仿宋_GB2312"/>
                <w:sz w:val="24"/>
              </w:rPr>
              <w:t>稳定的原材料供应渠道、生产流程或服务交付体系；建立了产品质量标准与控制体系；显示出良好的规模经济效益</w:t>
            </w:r>
          </w:p>
          <w:p w14:paraId="35342FBA">
            <w:pPr>
              <w:snapToGrid w:val="0"/>
              <w:spacing w:before="0" w:beforeLines="0" w:line="240" w:lineRule="auto"/>
              <w:jc w:val="both"/>
              <w:rPr>
                <w:rFonts w:ascii="Times New Roman" w:hAnsi="Segoe UI" w:cs="Segoe UI"/>
                <w:color w:val="0F1115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</w:rPr>
              <w:t>复制性与扩张策略：</w:t>
            </w:r>
            <w:r>
              <w:rPr>
                <w:rFonts w:hint="eastAsia" w:ascii="Times New Roman" w:hAnsi="Times New Roman" w:cs="仿宋_GB2312"/>
                <w:sz w:val="24"/>
              </w:rPr>
              <w:t>有清晰的市场扩张计划；良好的团队、资金、管理体系；契合国家及地方的农业产业政策（如乡村振兴、种业振兴、智慧农业）</w:t>
            </w:r>
          </w:p>
        </w:tc>
        <w:tc>
          <w:tcPr>
            <w:tcW w:w="516" w:type="pct"/>
            <w:tcMar>
              <w:left w:w="108" w:type="dxa"/>
              <w:right w:w="108" w:type="dxa"/>
            </w:tcMar>
            <w:vAlign w:val="center"/>
          </w:tcPr>
          <w:p w14:paraId="2E17C1EC">
            <w:pPr>
              <w:snapToGrid w:val="0"/>
              <w:spacing w:before="0" w:beforeLines="0" w:line="240" w:lineRule="auto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20</w:t>
            </w:r>
          </w:p>
        </w:tc>
      </w:tr>
      <w:tr w14:paraId="11721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pct"/>
            <w:tcMar>
              <w:left w:w="108" w:type="dxa"/>
              <w:right w:w="108" w:type="dxa"/>
            </w:tcMar>
            <w:vAlign w:val="center"/>
          </w:tcPr>
          <w:p w14:paraId="5942A79F">
            <w:pPr>
              <w:snapToGrid w:val="0"/>
              <w:spacing w:before="0" w:beforeLines="0" w:line="240" w:lineRule="auto"/>
              <w:jc w:val="both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团队协作</w:t>
            </w:r>
          </w:p>
        </w:tc>
        <w:tc>
          <w:tcPr>
            <w:tcW w:w="3561" w:type="pct"/>
            <w:tcMar>
              <w:left w:w="108" w:type="dxa"/>
              <w:right w:w="108" w:type="dxa"/>
            </w:tcMar>
            <w:vAlign w:val="center"/>
          </w:tcPr>
          <w:p w14:paraId="6D256543">
            <w:pPr>
              <w:snapToGrid w:val="0"/>
              <w:spacing w:before="0" w:beforeLines="0" w:line="240" w:lineRule="auto"/>
              <w:jc w:val="both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</w:rPr>
              <w:t>团队结构与经验</w:t>
            </w:r>
            <w:r>
              <w:rPr>
                <w:rFonts w:hint="eastAsia" w:ascii="Times New Roman" w:hAnsi="Times New Roman" w:cs="仿宋_GB2312"/>
                <w:sz w:val="24"/>
              </w:rPr>
              <w:t>：评估公司组织架构、决策机制、岗位设置及股权结构的合理性。团队是否具备支撑项目成长的独特知识、技能和外部资源网络。</w:t>
            </w:r>
          </w:p>
          <w:p w14:paraId="4EAAA7C3">
            <w:pPr>
              <w:snapToGrid w:val="0"/>
              <w:spacing w:before="0" w:beforeLines="0" w:line="240" w:lineRule="auto"/>
              <w:jc w:val="both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</w:rPr>
              <w:t>团队效能</w:t>
            </w:r>
            <w:r>
              <w:rPr>
                <w:rFonts w:hint="eastAsia" w:ascii="Times New Roman" w:hAnsi="Times New Roman" w:cs="仿宋_GB2312"/>
                <w:sz w:val="24"/>
              </w:rPr>
              <w:t>：考察团队对项目的投入程度以及核心成员的稳定性</w:t>
            </w:r>
          </w:p>
        </w:tc>
        <w:tc>
          <w:tcPr>
            <w:tcW w:w="516" w:type="pct"/>
            <w:tcMar>
              <w:left w:w="108" w:type="dxa"/>
              <w:right w:w="108" w:type="dxa"/>
            </w:tcMar>
            <w:vAlign w:val="center"/>
          </w:tcPr>
          <w:p w14:paraId="03F2B764">
            <w:pPr>
              <w:snapToGrid w:val="0"/>
              <w:spacing w:before="0" w:beforeLines="0" w:line="240" w:lineRule="auto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10</w:t>
            </w:r>
          </w:p>
        </w:tc>
      </w:tr>
      <w:tr w14:paraId="193EC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pct"/>
            <w:tcMar>
              <w:left w:w="108" w:type="dxa"/>
              <w:right w:w="108" w:type="dxa"/>
            </w:tcMar>
            <w:vAlign w:val="center"/>
          </w:tcPr>
          <w:p w14:paraId="612C31AC">
            <w:pPr>
              <w:snapToGrid w:val="0"/>
              <w:spacing w:before="0" w:beforeLines="0" w:line="240" w:lineRule="auto"/>
              <w:jc w:val="both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社会价值</w:t>
            </w:r>
          </w:p>
        </w:tc>
        <w:tc>
          <w:tcPr>
            <w:tcW w:w="3561" w:type="pct"/>
            <w:tcMar>
              <w:left w:w="108" w:type="dxa"/>
              <w:right w:w="108" w:type="dxa"/>
            </w:tcMar>
            <w:vAlign w:val="center"/>
          </w:tcPr>
          <w:p w14:paraId="777A8EF7">
            <w:pPr>
              <w:snapToGrid w:val="0"/>
              <w:spacing w:before="0" w:beforeLines="0" w:line="240" w:lineRule="auto"/>
              <w:jc w:val="both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</w:rPr>
              <w:t>产业与区域贡献</w:t>
            </w:r>
            <w:r>
              <w:rPr>
                <w:rFonts w:ascii="Times New Roman" w:hAnsi="Times New Roman" w:cs="仿宋_GB2312"/>
                <w:sz w:val="24"/>
              </w:rPr>
              <w:t>：项目对促进区域经济发展、产业转型升级的具体成效</w:t>
            </w:r>
            <w:r>
              <w:fldChar w:fldCharType="begin"/>
            </w:r>
            <w:r>
              <w:instrText xml:space="preserve"> HYPERLINK "https://www.xit.edu.cn/maker/2025/0610/c335a62225/page.htm" \t "https://chat.deepseek.com/a/chat/s/_blank"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Times New Roman" w:hAnsi="Times New Roman" w:cs="仿宋_GB2312"/>
                <w:sz w:val="24"/>
              </w:rPr>
              <w:t>。</w:t>
            </w:r>
          </w:p>
          <w:p w14:paraId="33CB80C2">
            <w:pPr>
              <w:snapToGrid w:val="0"/>
              <w:spacing w:before="0" w:beforeLines="0" w:line="240" w:lineRule="auto"/>
              <w:jc w:val="both"/>
              <w:rPr>
                <w:rFonts w:ascii="Times New Roman" w:hAnsi="Times New Roman" w:cs="仿宋_GB2312"/>
                <w:b/>
                <w:bCs/>
                <w:sz w:val="24"/>
              </w:rPr>
            </w:pPr>
            <w:r>
              <w:rPr>
                <w:rFonts w:ascii="Times New Roman" w:hAnsi="Times New Roman" w:cs="仿宋_GB2312"/>
                <w:b/>
                <w:bCs/>
                <w:sz w:val="24"/>
              </w:rPr>
              <w:t>社会影响：</w:t>
            </w:r>
            <w:r>
              <w:rPr>
                <w:rFonts w:ascii="Times New Roman" w:hAnsi="Times New Roman" w:cs="仿宋_GB2312"/>
                <w:sz w:val="24"/>
              </w:rPr>
              <w:t>项目直接和间接带动就业的规模与质量，以及对生态文明、民生福祉等方面的积极推动作用</w:t>
            </w:r>
          </w:p>
        </w:tc>
        <w:tc>
          <w:tcPr>
            <w:tcW w:w="516" w:type="pct"/>
            <w:tcMar>
              <w:left w:w="108" w:type="dxa"/>
              <w:right w:w="108" w:type="dxa"/>
            </w:tcMar>
            <w:vAlign w:val="center"/>
          </w:tcPr>
          <w:p w14:paraId="21176307">
            <w:pPr>
              <w:snapToGrid w:val="0"/>
              <w:spacing w:before="0" w:beforeLines="0" w:line="240" w:lineRule="auto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10</w:t>
            </w:r>
          </w:p>
        </w:tc>
      </w:tr>
    </w:tbl>
    <w:p w14:paraId="17841B08">
      <w:pPr>
        <w:spacing w:before="624"/>
        <w:rPr>
          <w:szCs w:val="32"/>
        </w:rPr>
      </w:pPr>
    </w:p>
    <w:sectPr>
      <w:headerReference r:id="rId9" w:type="default"/>
      <w:footerReference r:id="rId11" w:type="default"/>
      <w:headerReference r:id="rId10" w:type="even"/>
      <w:footerReference r:id="rId12" w:type="even"/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2CD617-01EA-48D0-920F-AFB57D1E4E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E4BD25A-52DF-4AF5-9BE3-2DF1F3AA22D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475CA0D-4F20-421C-9655-94685B5F5B52}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F75C33D-7073-48E1-98EE-A7F31185796E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5" w:fontKey="{72696B1B-BD11-4A4F-8176-3F70859A52F5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60A23">
    <w:pPr>
      <w:pStyle w:val="15"/>
      <w:spacing w:before="48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B37A74">
                          <w:pPr>
                            <w:pStyle w:val="15"/>
                            <w:spacing w:before="480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DYrHJd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DB37A74">
                    <w:pPr>
                      <w:pStyle w:val="15"/>
                      <w:spacing w:before="480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sdt>
      <w:sdtPr>
        <w:id w:val="44964010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E9D75">
    <w:pPr>
      <w:pStyle w:val="15"/>
      <w:spacing w:before="48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C9D263">
                          <w:pPr>
                            <w:pStyle w:val="15"/>
                            <w:spacing w:before="480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GpUrO1gAAAAYBAAAPAAAAAAAAAAEAIAAAACIAAABkcnMvZG93bnJldi54bWxQ&#10;SwECFAAUAAAACACHTuJArX78YTICAABf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CC9D263">
                    <w:pPr>
                      <w:pStyle w:val="15"/>
                      <w:spacing w:before="480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16342">
    <w:pPr>
      <w:pStyle w:val="15"/>
      <w:spacing w:before="48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9A1B3D">
                          <w:pPr>
                            <w:pStyle w:val="15"/>
                            <w:spacing w:before="480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AP1FPp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99A1B3D">
                    <w:pPr>
                      <w:pStyle w:val="15"/>
                      <w:spacing w:before="480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7AC51">
    <w:pPr>
      <w:pStyle w:val="15"/>
      <w:spacing w:before="48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C86BC">
                          <w:pPr>
                            <w:pStyle w:val="15"/>
                            <w:spacing w:before="480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GpUrO1gAAAAYBAAAPAAAAAAAAAAEAIAAAACIAAABkcnMvZG93bnJldi54bWxQ&#10;SwECFAAUAAAACACHTuJAegbd1TICAABf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83C86BC">
                    <w:pPr>
                      <w:pStyle w:val="15"/>
                      <w:spacing w:before="480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DFF60">
    <w:pPr>
      <w:pStyle w:val="16"/>
      <w:spacing w:before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0488F">
    <w:pPr>
      <w:pStyle w:val="16"/>
      <w:spacing w:befor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46F31">
    <w:pPr>
      <w:pStyle w:val="16"/>
      <w:spacing w:before="48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9979A">
    <w:pPr>
      <w:pStyle w:val="16"/>
      <w:spacing w:before="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A70888"/>
    <w:multiLevelType w:val="singleLevel"/>
    <w:tmpl w:val="EBA70888"/>
    <w:lvl w:ilvl="0" w:tentative="0">
      <w:start w:val="1"/>
      <w:numFmt w:val="taiwaneseCounting"/>
      <w:pStyle w:val="22"/>
      <w:suff w:val="nothing"/>
      <w:lvlText w:val="%1、"/>
      <w:lvlJc w:val="left"/>
      <w:pPr>
        <w:ind w:left="-640" w:firstLine="640"/>
      </w:pPr>
      <w:rPr>
        <w:rFonts w:hint="eastAsia"/>
      </w:rPr>
    </w:lvl>
  </w:abstractNum>
  <w:abstractNum w:abstractNumId="1">
    <w:nsid w:val="6EDF2FDA"/>
    <w:multiLevelType w:val="singleLevel"/>
    <w:tmpl w:val="6EDF2FDA"/>
    <w:lvl w:ilvl="0" w:tentative="0">
      <w:start w:val="1"/>
      <w:numFmt w:val="taiwaneseCounting"/>
      <w:pStyle w:val="24"/>
      <w:suff w:val="nothing"/>
      <w:lvlText w:val="（%1）"/>
      <w:lvlJc w:val="left"/>
      <w:pPr>
        <w:ind w:left="0" w:firstLine="64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evenAndOddHeaders w:val="1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217DE"/>
    <w:rsid w:val="0004352B"/>
    <w:rsid w:val="001457D1"/>
    <w:rsid w:val="00485841"/>
    <w:rsid w:val="00541CCD"/>
    <w:rsid w:val="00BF6957"/>
    <w:rsid w:val="00C362B3"/>
    <w:rsid w:val="00DA1B0D"/>
    <w:rsid w:val="02906142"/>
    <w:rsid w:val="03362040"/>
    <w:rsid w:val="04903689"/>
    <w:rsid w:val="05526700"/>
    <w:rsid w:val="08C2566D"/>
    <w:rsid w:val="0F8047B6"/>
    <w:rsid w:val="18803812"/>
    <w:rsid w:val="1CAE64BA"/>
    <w:rsid w:val="1F2411E5"/>
    <w:rsid w:val="1F711871"/>
    <w:rsid w:val="23EC63C3"/>
    <w:rsid w:val="26D1507C"/>
    <w:rsid w:val="2B5B087E"/>
    <w:rsid w:val="2F2A1724"/>
    <w:rsid w:val="34686B39"/>
    <w:rsid w:val="359B4383"/>
    <w:rsid w:val="363045D4"/>
    <w:rsid w:val="379F0A81"/>
    <w:rsid w:val="3EF46DCB"/>
    <w:rsid w:val="3F2521B4"/>
    <w:rsid w:val="40893E3A"/>
    <w:rsid w:val="40F43CEB"/>
    <w:rsid w:val="449B3C94"/>
    <w:rsid w:val="453C2005"/>
    <w:rsid w:val="459B4B29"/>
    <w:rsid w:val="45CE6918"/>
    <w:rsid w:val="48E217DE"/>
    <w:rsid w:val="5E0E0B57"/>
    <w:rsid w:val="5F3A715E"/>
    <w:rsid w:val="6D095C70"/>
    <w:rsid w:val="6D6F0E98"/>
    <w:rsid w:val="6ED80CAA"/>
    <w:rsid w:val="6FEE4609"/>
    <w:rsid w:val="74177616"/>
    <w:rsid w:val="742066C6"/>
    <w:rsid w:val="76B443CB"/>
    <w:rsid w:val="7AAF05A8"/>
    <w:rsid w:val="7CF1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200" w:beforeLines="200" w:line="560" w:lineRule="exact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spacing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  <w:lang w:val="en-US" w:eastAsia="zh-CN" w:bidi="ar-SA"/>
    </w:rPr>
  </w:style>
  <w:style w:type="paragraph" w:styleId="4">
    <w:name w:val="heading 2"/>
    <w:next w:val="1"/>
    <w:link w:val="28"/>
    <w:semiHidden/>
    <w:unhideWhenUsed/>
    <w:qFormat/>
    <w:uiPriority w:val="0"/>
    <w:pPr>
      <w:keepNext/>
      <w:keepLines/>
      <w:spacing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  <w:lang w:val="en-US" w:eastAsia="zh-CN" w:bidi="ar-SA"/>
    </w:rPr>
  </w:style>
  <w:style w:type="paragraph" w:styleId="5">
    <w:name w:val="heading 3"/>
    <w:next w:val="1"/>
    <w:semiHidden/>
    <w:unhideWhenUsed/>
    <w:qFormat/>
    <w:uiPriority w:val="0"/>
    <w:pPr>
      <w:keepNext/>
      <w:keepLines/>
      <w:spacing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6">
    <w:name w:val="heading 4"/>
    <w:next w:val="1"/>
    <w:semiHidden/>
    <w:unhideWhenUsed/>
    <w:qFormat/>
    <w:uiPriority w:val="0"/>
    <w:pPr>
      <w:keepNext/>
      <w:keepLines/>
      <w:spacing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7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8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9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10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11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qFormat/>
    <w:uiPriority w:val="0"/>
    <w:pPr>
      <w:spacing w:line="720" w:lineRule="exact"/>
      <w:jc w:val="center"/>
    </w:pPr>
    <w:rPr>
      <w:rFonts w:ascii="微软雅黑" w:hAnsi="微软雅黑" w:eastAsia="微软雅黑" w:cs="微软雅黑"/>
      <w:sz w:val="44"/>
      <w:szCs w:val="44"/>
      <w:lang w:val="en-US" w:eastAsia="zh-CN" w:bidi="ar-SA"/>
    </w:rPr>
  </w:style>
  <w:style w:type="paragraph" w:styleId="12">
    <w:name w:val="Normal Indent"/>
    <w:basedOn w:val="1"/>
    <w:qFormat/>
    <w:uiPriority w:val="99"/>
    <w:pPr>
      <w:ind w:firstLine="420"/>
    </w:pPr>
    <w:rPr>
      <w:rFonts w:ascii="Calibri" w:hAnsi="Calibri" w:eastAsia="等线" w:cs="Times New Roman"/>
      <w:szCs w:val="20"/>
    </w:rPr>
  </w:style>
  <w:style w:type="paragraph" w:styleId="1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paragraph" w:styleId="14">
    <w:name w:val="Plain Text"/>
    <w:basedOn w:val="1"/>
    <w:qFormat/>
    <w:uiPriority w:val="0"/>
    <w:rPr>
      <w:rFonts w:ascii="宋体" w:hAnsi="Courier New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17">
    <w:name w:val="Subtitle"/>
    <w:qFormat/>
    <w:uiPriority w:val="0"/>
    <w:pPr>
      <w:spacing w:line="720" w:lineRule="exact"/>
      <w:jc w:val="center"/>
    </w:pPr>
    <w:rPr>
      <w:rFonts w:ascii="Times New Roman" w:hAnsi="Times New Roman" w:eastAsia="仿宋_GB2312" w:cs="仿宋_GB2312"/>
      <w:kern w:val="28"/>
      <w:sz w:val="32"/>
      <w:szCs w:val="32"/>
      <w:lang w:val="en-US" w:eastAsia="zh-CN" w:bidi="ar-SA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方案标题"/>
    <w:qFormat/>
    <w:uiPriority w:val="0"/>
    <w:pPr>
      <w:keepNext/>
      <w:keepLines/>
      <w:spacing w:before="340" w:after="330" w:line="560" w:lineRule="exact"/>
      <w:ind w:left="640" w:leftChars="200"/>
      <w:jc w:val="center"/>
    </w:pPr>
    <w:rPr>
      <w:rFonts w:ascii="Arial" w:hAnsi="Arial" w:eastAsia="方正公文小标宋" w:cstheme="minorBidi"/>
      <w:kern w:val="44"/>
      <w:sz w:val="44"/>
      <w:lang w:val="en-US" w:eastAsia="zh-CN" w:bidi="ar-SA"/>
    </w:rPr>
  </w:style>
  <w:style w:type="paragraph" w:customStyle="1" w:styleId="22">
    <w:name w:val="方案大标题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ascii="黑体" w:hAnsi="黑体" w:eastAsia="黑体" w:cs="黑体"/>
      <w:spacing w:val="-6"/>
      <w:kern w:val="44"/>
      <w:szCs w:val="32"/>
    </w:rPr>
  </w:style>
  <w:style w:type="paragraph" w:customStyle="1" w:styleId="23">
    <w:name w:val="方案正文"/>
    <w:basedOn w:val="1"/>
    <w:qFormat/>
    <w:uiPriority w:val="0"/>
    <w:pPr>
      <w:ind w:firstLine="616" w:firstLineChars="200"/>
    </w:pPr>
    <w:rPr>
      <w:rFonts w:hint="eastAsia" w:ascii="仿宋_GB2312" w:hAnsi="仿宋_GB2312" w:cs="仿宋_GB2312"/>
      <w:spacing w:val="-6"/>
      <w:szCs w:val="32"/>
    </w:rPr>
  </w:style>
  <w:style w:type="paragraph" w:customStyle="1" w:styleId="24">
    <w:name w:val="方案小标题（一）"/>
    <w:basedOn w:val="1"/>
    <w:next w:val="1"/>
    <w:qFormat/>
    <w:uiPriority w:val="0"/>
    <w:pPr>
      <w:keepNext/>
      <w:keepLines/>
      <w:numPr>
        <w:ilvl w:val="0"/>
        <w:numId w:val="2"/>
      </w:numPr>
      <w:outlineLvl w:val="1"/>
    </w:pPr>
    <w:rPr>
      <w:rFonts w:ascii="楷体_GB2312" w:hAnsi="楷体_GB2312" w:eastAsia="楷体_GB2312" w:cs="楷体_GB2312"/>
      <w:spacing w:val="-6"/>
      <w:szCs w:val="32"/>
    </w:rPr>
  </w:style>
  <w:style w:type="paragraph" w:customStyle="1" w:styleId="25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customStyle="1" w:styleId="26">
    <w:name w:val="附录标题"/>
    <w:next w:val="1"/>
    <w:qFormat/>
    <w:uiPriority w:val="0"/>
    <w:pPr>
      <w:overflowPunct w:val="0"/>
      <w:topLinePunct/>
      <w:spacing w:line="560" w:lineRule="exact"/>
      <w:outlineLvl w:val="0"/>
    </w:pPr>
    <w:rPr>
      <w:rFonts w:ascii="黑体" w:hAnsi="黑体" w:eastAsia="黑体" w:cs="黑体"/>
      <w:sz w:val="32"/>
      <w:szCs w:val="32"/>
      <w:lang w:val="en-US" w:eastAsia="zh-CN" w:bidi="ar-SA"/>
    </w:rPr>
  </w:style>
  <w:style w:type="paragraph" w:customStyle="1" w:styleId="27">
    <w:name w:val="表格标题"/>
    <w:next w:val="1"/>
    <w:qFormat/>
    <w:uiPriority w:val="0"/>
    <w:pPr>
      <w:overflowPunct w:val="0"/>
      <w:topLinePunct/>
      <w:spacing w:line="560" w:lineRule="exact"/>
      <w:jc w:val="center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character" w:customStyle="1" w:styleId="28">
    <w:name w:val="标题 2 字符"/>
    <w:link w:val="4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footer" Target="footer3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1198</Words>
  <Characters>1227</Characters>
  <Lines>20</Lines>
  <Paragraphs>5</Paragraphs>
  <TotalTime>9</TotalTime>
  <ScaleCrop>false</ScaleCrop>
  <LinksUpToDate>false</LinksUpToDate>
  <CharactersWithSpaces>1244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2025-12-04T00:02:00Z</dcterms:created>
  <dc:creator>龙二</dc:creator>
  <cp:lastModifiedBy>炒面</cp:lastModifiedBy>
  <cp:lastPrinted>2025-12-04T07:43:00Z</cp:lastPrinted>
  <dcterms:modified xsi:type="dcterms:W3CDTF">2025-12-11T01:47:22Z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5846587989A045919A387DFFF218DF7B_13</vt:lpwstr>
  </property>
  <property fmtid="{D5CDD505-2E9C-101B-9397-08002B2CF9AE}" pid="4" name="KSOTemplateDocerSaveRecord">
    <vt:lpwstr>eyJoZGlkIjoiOWUyNWIzYjQyYjYxZGNlN2RkMzQ3OTQyNDI1ZDViM2UiLCJ1c2VySWQiOiI1Nzk5MDk3MjgifQ==</vt:lpwstr>
  </property>
</Properties>
</file>