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hint="default" w:ascii="Times New Roman" w:hAnsi="Times New Roman" w:eastAsia="黑体" w:cs="Times New Roman"/>
          <w:color w:val="auto"/>
          <w:sz w:val="44"/>
          <w:szCs w:val="44"/>
          <w:highlight w:val="none"/>
          <w:lang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8</w:t>
      </w:r>
    </w:p>
    <w:p>
      <w:pPr>
        <w:spacing w:line="592" w:lineRule="exact"/>
        <w:jc w:val="center"/>
        <w:rPr>
          <w:rFonts w:hint="default" w:ascii="Times New Roman" w:hAnsi="Times New Roman" w:eastAsia="方正小标宋_GBK" w:cs="Times New Roman"/>
          <w:color w:val="auto"/>
          <w:sz w:val="44"/>
          <w:szCs w:val="44"/>
          <w:highlight w:val="none"/>
        </w:rPr>
      </w:pPr>
    </w:p>
    <w:p>
      <w:pPr>
        <w:spacing w:line="592" w:lineRule="exact"/>
        <w:jc w:val="center"/>
        <w:rPr>
          <w:rFonts w:hint="default" w:ascii="Times New Roman" w:hAnsi="Times New Roman" w:eastAsia="方正小标宋_GBK" w:cs="Times New Roman"/>
          <w:color w:val="auto"/>
          <w:sz w:val="44"/>
          <w:szCs w:val="44"/>
          <w:highlight w:val="none"/>
        </w:rPr>
      </w:pPr>
      <w:bookmarkStart w:id="0" w:name="_GoBack"/>
      <w:r>
        <w:rPr>
          <w:rFonts w:hint="default" w:ascii="Times New Roman" w:hAnsi="Times New Roman" w:eastAsia="方正小标宋_GBK" w:cs="Times New Roman"/>
          <w:color w:val="auto"/>
          <w:sz w:val="44"/>
          <w:szCs w:val="44"/>
          <w:highlight w:val="none"/>
        </w:rPr>
        <w:t>产业环节注解</w:t>
      </w:r>
    </w:p>
    <w:bookmarkEnd w:id="0"/>
    <w:p>
      <w:pPr>
        <w:pStyle w:val="4"/>
        <w:rPr>
          <w:rFonts w:hint="default" w:ascii="Times New Roman" w:hAnsi="Times New Roman" w:cs="Times New Roman"/>
          <w:color w:val="auto"/>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0" w:type="dxa"/>
            <w:noWrap w:val="0"/>
            <w:vAlign w:val="top"/>
          </w:tcPr>
          <w:p>
            <w:pPr>
              <w:spacing w:line="592" w:lineRule="exac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1.集成电路</w:t>
            </w:r>
            <w:r>
              <w:rPr>
                <w:rFonts w:hint="default" w:ascii="Times New Roman" w:hAnsi="Times New Roman" w:eastAsia="仿宋_GB2312" w:cs="Times New Roman"/>
                <w:color w:val="auto"/>
                <w:sz w:val="32"/>
                <w:szCs w:val="32"/>
                <w:highlight w:val="none"/>
              </w:rPr>
              <w:t>：设计、制造、封装、测试、设备、材料、服务平台、</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（请备注类别）。</w:t>
            </w:r>
          </w:p>
          <w:p>
            <w:pPr>
              <w:spacing w:line="592" w:lineRule="exac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2.新型显示</w:t>
            </w:r>
            <w:r>
              <w:rPr>
                <w:rFonts w:hint="default" w:ascii="Times New Roman" w:hAnsi="Times New Roman" w:eastAsia="仿宋_GB2312" w:cs="Times New Roman"/>
                <w:color w:val="auto"/>
                <w:sz w:val="32"/>
                <w:szCs w:val="32"/>
                <w:highlight w:val="none"/>
              </w:rPr>
              <w:t>：面板、材料、装备、背光模组、终端产品、其它（请备注类别）。</w:t>
            </w:r>
          </w:p>
          <w:p>
            <w:pPr>
              <w:spacing w:line="592" w:lineRule="exact"/>
              <w:ind w:firstLine="642"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3.量子</w:t>
            </w:r>
            <w:r>
              <w:rPr>
                <w:rFonts w:hint="default" w:ascii="Times New Roman" w:hAnsi="Times New Roman" w:eastAsia="仿宋_GB2312" w:cs="Times New Roman"/>
                <w:color w:val="auto"/>
                <w:sz w:val="32"/>
                <w:szCs w:val="32"/>
                <w:highlight w:val="none"/>
              </w:rPr>
              <w:t>：单光子源、量子随机数发生器、单光子探测器（含单光子检测雪崩二极管）、量子比特（量子位）、量子逻辑门、量子晶体管、量子纠缠源、隐形传态（含离子阱、双或多光子纠缠对等）、量子纠错、量子编码、量子密钥生成器、量子密钥分发器、量子密钥管理器、量子解密、量子网关、量子路由器、量子中继器、量子交换机、量子通信终端（含量子手机等终端）、量子模拟器、量子存储器、量子处理器、量子电路、量子算法、量子芯片、量子保密器件（身份认证、量子保密、量子传真、电子投票、门禁、图像加密等）、量子通信系统、量子卫星、量子计算机、量子探测仪器（含量子雷达、量子成像、量子陀螺仪、原子钟、量子导航、量子重力仪、量子磁强计/磁通计等）、其它（请备注类别）。</w:t>
            </w:r>
          </w:p>
          <w:p>
            <w:pPr>
              <w:spacing w:line="592" w:lineRule="exac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4.网络与信息安全</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核心元器件、基础软件、关键设备、安全感知分析、网络安全服务、网络安全应用。</w:t>
            </w:r>
          </w:p>
          <w:p>
            <w:pPr>
              <w:spacing w:line="592" w:lineRule="exac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5.城市安全</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安全防护、安全监测预警、应急救援处置、安全应急服务、城市安全设施建设、</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（请备注类别）。</w:t>
            </w:r>
          </w:p>
          <w:p>
            <w:pPr>
              <w:spacing w:line="592" w:lineRule="exact"/>
              <w:ind w:firstLine="642"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6.空天信息</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空天信息相关技术及产品研发、航空航天软件开发、航空航天芯片、核心零部件（载荷、天线等）、卫星制造、材料、卫星测运控、数据应用、地面设备、终端</w:t>
            </w:r>
            <w:r>
              <w:rPr>
                <w:rFonts w:hint="default" w:ascii="Times New Roman" w:hAnsi="Times New Roman" w:eastAsia="仿宋_GB2312" w:cs="Times New Roman"/>
                <w:bCs/>
                <w:color w:val="auto"/>
                <w:sz w:val="32"/>
                <w:szCs w:val="32"/>
                <w:highlight w:val="none"/>
              </w:rPr>
              <w:t>、其他（请备注类别）。</w:t>
            </w:r>
          </w:p>
          <w:p>
            <w:pPr>
              <w:spacing w:line="592" w:lineRule="exac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7.人工智能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rPr>
              <w:t>底层硬件（传感器、芯片等）、数据计算（大数据、云计算、量子计算等）、算法（算法框架、深度学习等）、基础应用技术（智能语音技术、计算机视觉、自然语言处理等）、人工智能技术开放平台、人工智能产业服务平台、智能终端产品（智能驾驶、机器人、智能家居、移动设备等）、行业应用方案（教育行业、医疗健康、金融商业、司法政务、城市交通、安防等）、其他（请备注类别）。</w:t>
            </w:r>
          </w:p>
          <w:p>
            <w:pPr>
              <w:spacing w:line="592" w:lineRule="exac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8.新能源汽车和智能网联新能源汽车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rPr>
              <w:t>新能源汽车</w:t>
            </w:r>
            <w:r>
              <w:rPr>
                <w:rFonts w:hint="default" w:ascii="Times New Roman" w:hAnsi="Times New Roman" w:eastAsia="仿宋_GB2312" w:cs="Times New Roman"/>
                <w:b w:val="0"/>
                <w:i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电池（锂电池、燃料电池、电池管理系统等）、电机、电控、整车企业（混合动力汽车、纯电动汽车、燃料电池汽车）、充换电（充电桩、换电站、充电网络建设等）、拆解回收、商业模式、其他（请备注类别）；</w:t>
            </w:r>
            <w:r>
              <w:rPr>
                <w:rFonts w:hint="default" w:ascii="Times New Roman" w:hAnsi="Times New Roman" w:eastAsia="仿宋_GB2312" w:cs="Times New Roman"/>
                <w:b/>
                <w:color w:val="auto"/>
                <w:sz w:val="32"/>
                <w:szCs w:val="32"/>
                <w:highlight w:val="none"/>
              </w:rPr>
              <w:t>智能网联汽车</w:t>
            </w:r>
            <w:r>
              <w:rPr>
                <w:rFonts w:hint="default" w:ascii="Times New Roman" w:hAnsi="Times New Roman" w:eastAsia="仿宋_GB2312" w:cs="Times New Roman"/>
                <w:color w:val="auto"/>
                <w:sz w:val="32"/>
                <w:szCs w:val="32"/>
                <w:highlight w:val="none"/>
              </w:rPr>
              <w:t>：感知系统（雷达、视觉、定位、姿态、压力、测速、光电传感器）、决策系统、执行系统、通信系统（RSU、OBU\T-BOX）、高精度地图、</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（集成、软件、云控平台、检验检测）。</w:t>
            </w:r>
          </w:p>
          <w:p>
            <w:pPr>
              <w:spacing w:line="592" w:lineRule="exact"/>
              <w:ind w:firstLine="642" w:firstLineChars="200"/>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b/>
                <w:color w:val="auto"/>
                <w:sz w:val="32"/>
                <w:szCs w:val="32"/>
                <w:highlight w:val="none"/>
              </w:rPr>
              <w:t>9.生物医药</w:t>
            </w:r>
            <w:r>
              <w:rPr>
                <w:rFonts w:hint="default" w:ascii="Times New Roman" w:hAnsi="Times New Roman" w:eastAsia="仿宋_GB2312" w:cs="Times New Roman"/>
                <w:color w:val="auto"/>
                <w:sz w:val="32"/>
                <w:szCs w:val="32"/>
                <w:highlight w:val="none"/>
              </w:rPr>
              <w:t>：原料药、化药、生物药、医疗器械、生物工程、生物制造、其它（请备注类别）。</w:t>
            </w:r>
          </w:p>
          <w:p>
            <w:pPr>
              <w:spacing w:line="592" w:lineRule="exac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10.新材料</w:t>
            </w:r>
            <w:r>
              <w:rPr>
                <w:rFonts w:hint="default" w:ascii="Times New Roman" w:hAnsi="Times New Roman" w:eastAsia="仿宋_GB2312" w:cs="Times New Roman"/>
                <w:color w:val="auto"/>
                <w:sz w:val="32"/>
                <w:szCs w:val="32"/>
                <w:highlight w:val="none"/>
              </w:rPr>
              <w:t>：先进钢铁材料、先进有色金属材料、先进石化化工材料、先进无机非金属材料、高性能纤维及制品和复合材料、前沿新材料、</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（请备注类别）。</w:t>
            </w:r>
          </w:p>
          <w:p>
            <w:pPr>
              <w:spacing w:line="592" w:lineRule="exact"/>
              <w:ind w:firstLine="642"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11.高端装备</w:t>
            </w:r>
            <w:r>
              <w:rPr>
                <w:rFonts w:hint="default" w:ascii="Times New Roman" w:hAnsi="Times New Roman" w:eastAsia="仿宋_GB2312" w:cs="Times New Roman"/>
                <w:color w:val="auto"/>
                <w:sz w:val="32"/>
                <w:szCs w:val="32"/>
                <w:highlight w:val="none"/>
              </w:rPr>
              <w:t>：工程机械、工业机器人、数控机床、机器视觉、电工电气、高端零部件、轨道交通、航空装备产业、其它（请备注类别）</w:t>
            </w:r>
            <w:r>
              <w:rPr>
                <w:rFonts w:hint="default" w:ascii="Times New Roman" w:hAnsi="Times New Roman" w:eastAsia="仿宋_GB2312" w:cs="Times New Roman"/>
                <w:bCs/>
                <w:color w:val="auto"/>
                <w:sz w:val="32"/>
                <w:szCs w:val="32"/>
                <w:highlight w:val="none"/>
              </w:rPr>
              <w:t>。</w:t>
            </w:r>
          </w:p>
          <w:p>
            <w:pPr>
              <w:spacing w:line="592" w:lineRule="exact"/>
              <w:ind w:firstLine="642"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12.节能环保</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rPr>
              <w:t>节能装备制造、节能服务、环保材料/药剂生产、环保装备制造、环保服务、资源回收利用设备制造、资源回收再利用、其他（请备注类</w:t>
            </w:r>
            <w:r>
              <w:rPr>
                <w:rFonts w:hint="default" w:ascii="Times New Roman" w:hAnsi="Times New Roman" w:eastAsia="仿宋_GB2312" w:cs="Times New Roman"/>
                <w:color w:val="auto"/>
                <w:sz w:val="32"/>
                <w:szCs w:val="32"/>
                <w:highlight w:val="none"/>
              </w:rPr>
              <w:t>别）</w:t>
            </w:r>
            <w:r>
              <w:rPr>
                <w:rFonts w:hint="default" w:ascii="Times New Roman" w:hAnsi="Times New Roman" w:eastAsia="仿宋_GB2312" w:cs="Times New Roman"/>
                <w:bCs/>
                <w:color w:val="auto"/>
                <w:sz w:val="32"/>
                <w:szCs w:val="32"/>
                <w:highlight w:val="none"/>
              </w:rPr>
              <w:t>。</w:t>
            </w:r>
          </w:p>
          <w:p>
            <w:pPr>
              <w:spacing w:line="592" w:lineRule="exact"/>
              <w:ind w:firstLine="642"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13.光伏及新能源</w:t>
            </w:r>
            <w:r>
              <w:rPr>
                <w:rFonts w:hint="default" w:ascii="Times New Roman" w:hAnsi="Times New Roman" w:eastAsia="仿宋_GB2312" w:cs="Times New Roman"/>
                <w:color w:val="auto"/>
                <w:sz w:val="32"/>
                <w:szCs w:val="32"/>
                <w:highlight w:val="none"/>
              </w:rPr>
              <w:t>：光伏电池片、光伏组件、光伏玻璃、边框支架等配套、建筑用光伏构件、逆变器、接线盒、汇流箱等光伏系统配套、储能电池及系统、光伏电站系统工程、风能等其他新能源开发应用、其他（请备注类别）</w:t>
            </w:r>
            <w:r>
              <w:rPr>
                <w:rFonts w:hint="default" w:ascii="Times New Roman" w:hAnsi="Times New Roman" w:eastAsia="仿宋_GB2312" w:cs="Times New Roman"/>
                <w:bCs/>
                <w:color w:val="auto"/>
                <w:sz w:val="32"/>
                <w:szCs w:val="32"/>
                <w:highlight w:val="none"/>
              </w:rPr>
              <w:t>。</w:t>
            </w:r>
          </w:p>
          <w:p>
            <w:pPr>
              <w:widowControl/>
              <w:spacing w:line="592" w:lineRule="exact"/>
              <w:ind w:firstLine="642"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14.绿色食品及现代种业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绿色食品</w:t>
            </w:r>
            <w:r>
              <w:rPr>
                <w:rFonts w:hint="default" w:ascii="Times New Roman" w:hAnsi="Times New Roman" w:eastAsia="仿宋_GB2312" w:cs="Times New Roman"/>
                <w:color w:val="auto"/>
                <w:sz w:val="32"/>
                <w:szCs w:val="32"/>
                <w:highlight w:val="none"/>
              </w:rPr>
              <w:t>：粮食、蔬菜、草莓、茶叶、生猪、乳品、家禽、龙虾、水产、坚果等生产、加工、销售、其他（请备注类别）；</w:t>
            </w:r>
            <w:r>
              <w:rPr>
                <w:rFonts w:hint="default" w:ascii="Times New Roman" w:hAnsi="Times New Roman" w:eastAsia="仿宋_GB2312" w:cs="Times New Roman"/>
                <w:b/>
                <w:bCs/>
                <w:color w:val="auto"/>
                <w:sz w:val="32"/>
                <w:szCs w:val="32"/>
                <w:highlight w:val="none"/>
              </w:rPr>
              <w:t>现代种业</w:t>
            </w:r>
            <w:r>
              <w:rPr>
                <w:rFonts w:hint="default" w:ascii="Times New Roman" w:hAnsi="Times New Roman" w:eastAsia="仿宋_GB2312" w:cs="Times New Roman"/>
                <w:color w:val="auto"/>
                <w:sz w:val="32"/>
                <w:szCs w:val="32"/>
                <w:highlight w:val="none"/>
              </w:rPr>
              <w:t>：品种研发（农作物、畜禽和水产）、选育、繁殖生产、推广销售、其他（请备注类别） 。</w:t>
            </w:r>
          </w:p>
          <w:p>
            <w:pPr>
              <w:spacing w:line="592" w:lineRule="exact"/>
              <w:ind w:firstLine="642"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15.创意文化</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rPr>
              <w:t>新闻信息服务、内容创作生产、创意设计服务、文化传播渠道、文化投资运营、文化娱乐休闲服务、文化辅助生产和中介服务、文化装备生产、文化消费终端生产、其他（请备注类别）。</w:t>
            </w:r>
          </w:p>
          <w:p>
            <w:pPr>
              <w:spacing w:line="592" w:lineRule="exact"/>
              <w:ind w:firstLine="642" w:firstLineChars="200"/>
              <w:rPr>
                <w:rFonts w:hint="default" w:ascii="Times New Roman" w:hAnsi="Times New Roman" w:eastAsia="仿宋_GB2312" w:cs="Times New Roman"/>
                <w:b/>
                <w:color w:val="auto"/>
                <w:sz w:val="32"/>
                <w:szCs w:val="32"/>
                <w:highlight w:val="none"/>
                <w:vertAlign w:val="baseline"/>
              </w:rPr>
            </w:pPr>
            <w:r>
              <w:rPr>
                <w:rFonts w:hint="default" w:ascii="Times New Roman" w:hAnsi="Times New Roman" w:eastAsia="仿宋_GB2312" w:cs="Times New Roman"/>
                <w:b/>
                <w:color w:val="auto"/>
                <w:sz w:val="32"/>
                <w:szCs w:val="32"/>
                <w:highlight w:val="none"/>
              </w:rPr>
              <w:t>16.智能家电</w:t>
            </w:r>
            <w:r>
              <w:rPr>
                <w:rFonts w:hint="default" w:ascii="Times New Roman" w:hAnsi="Times New Roman" w:eastAsia="仿宋_GB2312" w:cs="Times New Roman"/>
                <w:color w:val="auto"/>
                <w:sz w:val="32"/>
                <w:szCs w:val="32"/>
                <w:highlight w:val="none"/>
              </w:rPr>
              <w:t>：家用制冷电器具制造、家用空气调节器制造、家用通风电器具制造、家用厨房电器具制造、家用清洁卫生电器具制造、家用美容、保健护理电器具制造、电视机制造、</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（请备注类别）。</w:t>
            </w:r>
          </w:p>
        </w:tc>
      </w:tr>
    </w:tbl>
    <w:p>
      <w:pPr>
        <w:rPr>
          <w:rFonts w:hint="default" w:ascii="Times New Roman" w:hAnsi="Times New Roman" w:eastAsia="宋体" w:cs="Times New Roman"/>
          <w:color w:val="auto"/>
          <w:sz w:val="21"/>
          <w:szCs w:val="24"/>
          <w:highlight w:val="none"/>
        </w:rPr>
      </w:pP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黑体" w:cs="Times New Roman"/>
          <w:b/>
          <w:bCs/>
          <w:color w:val="auto"/>
          <w:sz w:val="32"/>
          <w:szCs w:val="32"/>
          <w:highlight w:val="none"/>
          <w:lang w:val="en-US" w:eastAsia="zh-CN"/>
        </w:rPr>
        <w:t>重要说明</w:t>
      </w:r>
      <w:r>
        <w:rPr>
          <w:rFonts w:hint="default" w:ascii="Times New Roman" w:hAnsi="Times New Roman" w:eastAsia="黑体" w:cs="Times New Roman"/>
          <w:b w:val="0"/>
          <w:bCs/>
          <w:i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为保障政策延续性</w:t>
      </w:r>
      <w:r>
        <w:rPr>
          <w:rFonts w:hint="default" w:ascii="Times New Roman" w:hAnsi="Times New Roman" w:eastAsia="仿宋_GB2312" w:cs="Times New Roman"/>
          <w:b w:val="0"/>
          <w:bCs w:val="0"/>
          <w:i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本次工作沿用原各重点产业链牵头单位在用的环节分类</w:t>
      </w:r>
      <w:r>
        <w:rPr>
          <w:rFonts w:hint="default" w:ascii="Times New Roman" w:hAnsi="Times New Roman" w:eastAsia="仿宋_GB2312" w:cs="Times New Roman"/>
          <w:b w:val="0"/>
          <w:bCs/>
          <w:i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后期</w:t>
      </w:r>
      <w:r>
        <w:rPr>
          <w:rFonts w:hint="default" w:ascii="Times New Roman" w:hAnsi="Times New Roman" w:eastAsia="仿宋_GB2312" w:cs="Times New Roman"/>
          <w:b w:val="0"/>
          <w:bCs/>
          <w:i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市战新委办公室将根据产业发展实际情况</w:t>
      </w:r>
      <w:r>
        <w:rPr>
          <w:rFonts w:hint="default" w:ascii="Times New Roman" w:hAnsi="Times New Roman" w:eastAsia="仿宋_GB2312" w:cs="Times New Roman"/>
          <w:b w:val="0"/>
          <w:bCs/>
          <w:i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统筹组织各重点产业链牵头单位按照相对统一的标准对产业环节进行梳理</w:t>
      </w:r>
      <w:r>
        <w:rPr>
          <w:rFonts w:hint="default" w:ascii="Times New Roman" w:hAnsi="Times New Roman" w:eastAsia="仿宋_GB2312" w:cs="Times New Roman"/>
          <w:b w:val="0"/>
          <w:bCs/>
          <w:i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确保分类符合实际、切合市情</w:t>
      </w:r>
      <w:r>
        <w:rPr>
          <w:rFonts w:hint="default" w:ascii="Times New Roman" w:hAnsi="Times New Roman" w:eastAsia="仿宋_GB2312" w:cs="Times New Roman"/>
          <w:b w:val="0"/>
          <w:bCs w:val="0"/>
          <w:i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同时对各县（市、区）、开发区予以相应指导</w:t>
      </w:r>
      <w:r>
        <w:rPr>
          <w:rFonts w:hint="default" w:ascii="Times New Roman" w:hAnsi="Times New Roman" w:eastAsia="仿宋_GB2312" w:cs="Times New Roman"/>
          <w:b w:val="0"/>
          <w:bCs w:val="0"/>
          <w:i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推动入库工作更加科学、规范开展。</w:t>
      </w:r>
      <w:r>
        <w:rPr>
          <w:rFonts w:hint="default" w:ascii="Times New Roman" w:hAnsi="Times New Roman" w:eastAsia="仿宋_GB2312" w:cs="Times New Roman"/>
          <w:color w:val="auto"/>
          <w:sz w:val="32"/>
          <w:szCs w:val="32"/>
          <w:highlight w:val="none"/>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A32C"/>
    <w:rsid w:val="5FDDA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toc 5"/>
    <w:basedOn w:val="1"/>
    <w:next w:val="1"/>
    <w:qFormat/>
    <w:uiPriority w:val="0"/>
    <w:pPr>
      <w:ind w:left="1680" w:leftChars="800"/>
    </w:pPr>
  </w:style>
  <w:style w:type="paragraph" w:styleId="4">
    <w:name w:val="Normal Indent"/>
    <w:next w:val="1"/>
    <w:qFormat/>
    <w:uiPriority w:val="0"/>
    <w:pPr>
      <w:widowControl w:val="0"/>
      <w:ind w:firstLine="420"/>
      <w:jc w:val="both"/>
    </w:pPr>
    <w:rPr>
      <w:rFonts w:hint="eastAsia" w:ascii="Times New Roman" w:hAnsi="Times New Roman" w:eastAsia="仿宋_GB2312" w:cs="Times New Roman"/>
      <w:kern w:val="2"/>
      <w:sz w:val="32"/>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2024-03-15T18:36:00Z</dcterms:created>
  <dc:creator>uos</dc:creator>
  <cp:lastModifiedBy>uos</cp:lastModifiedBy>
  <dcterms:modified xsi:type="dcterms:W3CDTF">2024-03-15T18:37:00Z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