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附件</w:t>
      </w:r>
      <w:r>
        <w:rPr>
          <w:rFonts w:hint="eastAsia" w:ascii="Times New Roman" w:hAnsi="Times New Roman" w:eastAsia="黑体" w:cs="Times New Roman"/>
          <w:color w:val="000000"/>
          <w:sz w:val="32"/>
          <w:lang w:val="en-US" w:eastAsia="zh-CN"/>
        </w:rPr>
        <w:t>2</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eastAsia" w:ascii="方正小标宋简体" w:hAnsi="方正小标宋简体" w:eastAsia="方正小标宋简体" w:cs="方正小标宋简体"/>
          <w:b w:val="0"/>
          <w:bCs/>
          <w:color w:val="000000"/>
          <w:sz w:val="44"/>
          <w:lang w:val="en-US" w:eastAsia="zh-CN"/>
        </w:rPr>
      </w:pPr>
      <w:r>
        <w:rPr>
          <w:rFonts w:hint="eastAsia" w:ascii="方正小标宋简体" w:hAnsi="方正小标宋简体" w:eastAsia="方正小标宋简体" w:cs="方正小标宋简体"/>
          <w:b w:val="0"/>
          <w:bCs/>
          <w:color w:val="000000"/>
          <w:sz w:val="44"/>
        </w:rPr>
        <w:t>2023年度重点行业能效“领跑者”</w:t>
      </w:r>
      <w:r>
        <w:rPr>
          <w:rFonts w:hint="eastAsia" w:ascii="方正小标宋简体" w:hAnsi="方正小标宋简体" w:eastAsia="方正小标宋简体" w:cs="方正小标宋简体"/>
          <w:b w:val="0"/>
          <w:bCs/>
          <w:color w:val="000000"/>
          <w:sz w:val="44"/>
          <w:lang w:val="en-US" w:eastAsia="zh-CN"/>
        </w:rPr>
        <w:t>企业</w:t>
      </w:r>
    </w:p>
    <w:p>
      <w:pPr>
        <w:widowControl/>
        <w:jc w:val="center"/>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申请报告</w:t>
      </w:r>
    </w:p>
    <w:p>
      <w:pPr>
        <w:widowControl/>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XX</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企业</w:t>
      </w:r>
      <w:r>
        <w:rPr>
          <w:rFonts w:hint="default" w:ascii="Times New Roman" w:hAnsi="Times New Roman" w:eastAsia="楷体_GB2312" w:cs="Times New Roman"/>
          <w:b/>
          <w:color w:val="000000"/>
          <w:sz w:val="32"/>
          <w:szCs w:val="32"/>
          <w:lang w:val="en-US" w:eastAsia="zh-CN"/>
        </w:rPr>
        <w:t>名称</w:t>
      </w:r>
      <w:r>
        <w:rPr>
          <w:rFonts w:hint="default" w:ascii="Times New Roman" w:hAnsi="Times New Roman" w:eastAsia="楷体_GB2312" w:cs="Times New Roman"/>
          <w:b/>
          <w:color w:val="000000"/>
          <w:sz w:val="32"/>
          <w:szCs w:val="32"/>
          <w:lang w:eastAsia="zh-CN"/>
        </w:rPr>
        <w:t>）</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eastAsia" w:ascii="Times New Roman" w:hAnsi="Times New Roman" w:eastAsia="楷体_GB2312" w:cs="Times New Roman"/>
          <w:color w:val="000000"/>
          <w:sz w:val="32"/>
          <w:lang w:val="en-US" w:eastAsia="zh-CN"/>
        </w:rPr>
        <w:t>3</w:t>
      </w:r>
      <w:r>
        <w:rPr>
          <w:rFonts w:hint="default" w:ascii="Times New Roman" w:hAnsi="Times New Roman" w:eastAsia="楷体_GB2312" w:cs="Times New Roman"/>
          <w:color w:val="000000"/>
          <w:sz w:val="32"/>
        </w:rPr>
        <w:t>年X月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widowControl/>
        <w:spacing w:line="600" w:lineRule="exact"/>
        <w:jc w:val="center"/>
        <w:rPr>
          <w:rFonts w:hint="eastAsia"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填写说明</w:t>
      </w:r>
    </w:p>
    <w:p>
      <w:pPr>
        <w:widowControl/>
        <w:ind w:firstLine="640" w:firstLineChars="200"/>
        <w:jc w:val="left"/>
        <w:rPr>
          <w:rFonts w:hint="default" w:ascii="Times New Roman" w:hAnsi="Times New Roman" w:eastAsia="仿宋_GB2312" w:cs="Times New Roman"/>
          <w:color w:val="000000"/>
          <w:sz w:val="32"/>
        </w:rPr>
      </w:pP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widowControl/>
        <w:spacing w:line="60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原油加工，煤制焦炭，甲醇，煤制烯烃，烧碱，纯碱，电石，乙烯，对二甲苯，乙二醇，黄磷，合成氨，尿素，磷酸一铵，磷酸二铵，钛白粉，聚氯乙烯，精对苯二甲酸，子午线轮胎，钢铁（含烧结、球团、高炉、转炉、电弧炉冶炼等工序），铁合金冶炼，铜冶炼，铅冶炼，锌冶炼，电解铝，氧化铝，工业硅，镁冶炼，水泥熟料，平板玻璃，建筑陶瓷，卫生陶瓷，卫生纸原纸、纸巾原纸，棉、化纤及混纺机织物，针织物、纱线，粘胶短纤维，聚酯涤纶（附表1-</w:t>
      </w:r>
      <w:r>
        <w:rPr>
          <w:rFonts w:hint="eastAsia" w:ascii="Times New Roman" w:hAnsi="Times New Roman" w:eastAsia="仿宋_GB2312" w:cs="Times New Roman"/>
          <w:sz w:val="32"/>
          <w:lang w:val="en-US" w:eastAsia="zh-CN"/>
        </w:rPr>
        <w:t>37</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以上材料需按顺序编排，并在相应位置加盖公章。</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eastAsia"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eastAsia" w:ascii="Times New Roman" w:hAnsi="Times New Roman" w:eastAsia="仿宋_GB2312" w:cs="Times New Roman"/>
          <w:color w:val="000000"/>
          <w:kern w:val="0"/>
          <w:sz w:val="32"/>
          <w:szCs w:val="32"/>
          <w:highlight w:val="none"/>
          <w:lang w:eastAsia="zh-CN"/>
        </w:rPr>
        <w:t>。</w:t>
      </w:r>
    </w:p>
    <w:p>
      <w:pPr>
        <w:widowControl/>
        <w:ind w:firstLine="640" w:firstLineChars="200"/>
        <w:jc w:val="left"/>
        <w:rPr>
          <w:rFonts w:hint="default" w:ascii="Times New Roman" w:hAnsi="Times New Roman" w:eastAsia="仿宋_GB2312" w:cs="Times New Roman"/>
          <w:color w:val="000000"/>
          <w:sz w:val="32"/>
        </w:rPr>
      </w:pPr>
    </w:p>
    <w:p>
      <w:pPr>
        <w:widowControl/>
        <w:jc w:val="center"/>
        <w:outlineLvl w:val="0"/>
        <w:rPr>
          <w:rFonts w:hint="eastAsia" w:ascii="方正小标宋简体" w:hAnsi="方正小标宋简体" w:eastAsia="方正小标宋简体" w:cs="方正小标宋简体"/>
          <w:b w:val="0"/>
          <w:bCs/>
          <w:color w:val="000000"/>
          <w:sz w:val="36"/>
          <w:lang w:val="en-US" w:eastAsia="zh-CN"/>
        </w:rPr>
      </w:pPr>
      <w:r>
        <w:rPr>
          <w:rFonts w:hint="default" w:ascii="Times New Roman" w:hAnsi="Times New Roman" w:eastAsia="仿宋" w:cs="Times New Roman"/>
          <w:b/>
          <w:color w:val="000000"/>
          <w:sz w:val="36"/>
        </w:rPr>
        <w:br w:type="page"/>
      </w:r>
      <w:bookmarkStart w:id="0" w:name="_Toc7849"/>
      <w:r>
        <w:rPr>
          <w:rFonts w:hint="eastAsia" w:ascii="方正小标宋简体" w:hAnsi="方正小标宋简体" w:eastAsia="方正小标宋简体" w:cs="方正小标宋简体"/>
          <w:b w:val="0"/>
          <w:bCs/>
          <w:color w:val="000000"/>
          <w:sz w:val="36"/>
          <w:lang w:val="en-US" w:eastAsia="zh-CN"/>
        </w:rPr>
        <w:t>目  录</w:t>
      </w:r>
      <w:bookmarkEnd w:id="0"/>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rPr>
        <w:fldChar w:fldCharType="begin"/>
      </w:r>
      <w:r>
        <w:rPr>
          <w:rFonts w:hint="default"/>
        </w:rPr>
        <w:instrText xml:space="preserve">TOC \o "1-2" \h \u </w:instrText>
      </w:r>
      <w:r>
        <w:rPr>
          <w:rFonts w:hint="default"/>
        </w:rPr>
        <w:fldChar w:fldCharType="separate"/>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_Toc340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企业基本信息表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_Toc340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_Toc12409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sz w:val="28"/>
          <w:szCs w:val="28"/>
          <w:highlight w:val="none"/>
          <w:lang w:val="en-US" w:eastAsia="zh-CN"/>
        </w:rPr>
        <w:t>企业节能提效主要做法和先进经验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_Toc12409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_Toc14041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企业能效分析报告（格式）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_Toc14041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_Toc28025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 xml:space="preserve"> 原油加工行业能源使用情况详表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_Toc28025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_Toc12287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eastAsia="zh-CN"/>
        </w:rPr>
        <w:t>2</w:t>
      </w:r>
      <w:r>
        <w:rPr>
          <w:rFonts w:hint="eastAsia" w:ascii="Times New Roman" w:hAnsi="Times New Roman" w:eastAsia="仿宋_GB2312" w:cs="Times New Roman"/>
          <w:bCs/>
          <w:sz w:val="28"/>
          <w:szCs w:val="28"/>
          <w:lang w:val="en-US" w:eastAsia="zh-CN"/>
        </w:rPr>
        <w:t xml:space="preserve"> 煤制焦炭行业能源使用情况详表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_Toc12287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_Toc11802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 甲醇行业能源使用情况详表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_Toc11802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_Toc27569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4 煤制烯烃行业能源使用情况详表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_Toc27569 \h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_Toc12390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5 烧碱行业能源使用情况详表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_Toc12390 \h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_Toc14924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6 纯碱行业能源使用情况详表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_Toc14924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_Toc25405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7 电石行业能源使用情况详表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_Toc25405 \h </w:instrText>
      </w:r>
      <w:r>
        <w:rPr>
          <w:rFonts w:ascii="Times New Roman" w:hAnsi="Times New Roman" w:eastAsia="仿宋_GB2312"/>
          <w:sz w:val="28"/>
          <w:szCs w:val="28"/>
        </w:rPr>
        <w:fldChar w:fldCharType="separate"/>
      </w:r>
      <w:r>
        <w:rPr>
          <w:rFonts w:ascii="Times New Roman" w:hAnsi="Times New Roman" w:eastAsia="仿宋_GB2312"/>
          <w:sz w:val="28"/>
          <w:szCs w:val="28"/>
        </w:rPr>
        <w:t>23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_Toc26734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8 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_Toc26734 \h </w:instrText>
      </w:r>
      <w:r>
        <w:rPr>
          <w:rFonts w:ascii="Times New Roman" w:hAnsi="Times New Roman" w:eastAsia="仿宋_GB2312"/>
          <w:sz w:val="28"/>
          <w:szCs w:val="28"/>
        </w:rPr>
        <w:fldChar w:fldCharType="separate"/>
      </w:r>
      <w:r>
        <w:rPr>
          <w:rFonts w:ascii="Times New Roman" w:hAnsi="Times New Roman" w:eastAsia="仿宋_GB2312"/>
          <w:sz w:val="28"/>
          <w:szCs w:val="28"/>
        </w:rPr>
        <w:t>26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_Toc7424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9 对二甲苯行业能源使用情况详表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_Toc7424 \h </w:instrText>
      </w:r>
      <w:r>
        <w:rPr>
          <w:rFonts w:ascii="Times New Roman" w:hAnsi="Times New Roman" w:eastAsia="仿宋_GB2312"/>
          <w:sz w:val="28"/>
          <w:szCs w:val="28"/>
        </w:rPr>
        <w:fldChar w:fldCharType="separate"/>
      </w:r>
      <w:r>
        <w:rPr>
          <w:rFonts w:ascii="Times New Roman" w:hAnsi="Times New Roman" w:eastAsia="仿宋_GB2312"/>
          <w:sz w:val="28"/>
          <w:szCs w:val="28"/>
        </w:rPr>
        <w:t>28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_Toc9799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附表10乙二醇行业能源使用情况详表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_Toc9799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_Toc31531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11黄磷行业能源使用情况详表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_Toc31531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_Toc14666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2合成氨行业能源使用情况详表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_Toc14666 \h </w:instrText>
      </w:r>
      <w:r>
        <w:rPr>
          <w:rFonts w:ascii="Times New Roman" w:hAnsi="Times New Roman" w:eastAsia="仿宋_GB2312"/>
          <w:sz w:val="28"/>
          <w:szCs w:val="28"/>
        </w:rPr>
        <w:fldChar w:fldCharType="separate"/>
      </w:r>
      <w:r>
        <w:rPr>
          <w:rFonts w:ascii="Times New Roman" w:hAnsi="Times New Roman" w:eastAsia="仿宋_GB2312"/>
          <w:sz w:val="28"/>
          <w:szCs w:val="28"/>
        </w:rPr>
        <w:t>37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_Toc23482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附表13尿素行业能源使用情况详表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39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_Toc25711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附表14磷酸一铵行业能源使用情况详表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_Toc25711 \h </w:instrText>
      </w:r>
      <w:r>
        <w:rPr>
          <w:rFonts w:ascii="Times New Roman" w:hAnsi="Times New Roman" w:eastAsia="仿宋_GB2312"/>
          <w:sz w:val="28"/>
          <w:szCs w:val="28"/>
        </w:rPr>
        <w:fldChar w:fldCharType="separate"/>
      </w:r>
      <w:r>
        <w:rPr>
          <w:rFonts w:ascii="Times New Roman" w:hAnsi="Times New Roman" w:eastAsia="仿宋_GB2312"/>
          <w:sz w:val="28"/>
          <w:szCs w:val="28"/>
        </w:rPr>
        <w:t>41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_Toc9973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附表15磷酸二铵行业能源使用情况详表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_Toc9973 \h </w:instrText>
      </w:r>
      <w:r>
        <w:rPr>
          <w:rFonts w:ascii="Times New Roman" w:hAnsi="Times New Roman" w:eastAsia="仿宋_GB2312"/>
          <w:sz w:val="28"/>
          <w:szCs w:val="28"/>
        </w:rPr>
        <w:fldChar w:fldCharType="separate"/>
      </w:r>
      <w:r>
        <w:rPr>
          <w:rFonts w:ascii="Times New Roman" w:hAnsi="Times New Roman" w:eastAsia="仿宋_GB2312"/>
          <w:sz w:val="28"/>
          <w:szCs w:val="28"/>
        </w:rPr>
        <w:t>44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_Toc865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附表16钛白粉行业能源使用情况详表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_Toc865 \h </w:instrText>
      </w:r>
      <w:r>
        <w:rPr>
          <w:rFonts w:ascii="Times New Roman" w:hAnsi="Times New Roman" w:eastAsia="仿宋_GB2312"/>
          <w:sz w:val="28"/>
          <w:szCs w:val="28"/>
        </w:rPr>
        <w:fldChar w:fldCharType="separate"/>
      </w:r>
      <w:r>
        <w:rPr>
          <w:rFonts w:ascii="Times New Roman" w:hAnsi="Times New Roman" w:eastAsia="仿宋_GB2312"/>
          <w:sz w:val="28"/>
          <w:szCs w:val="28"/>
        </w:rPr>
        <w:t>47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_Toc5202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附表17聚氯乙烯行业能源使用情况详表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_Toc5202 \h </w:instrText>
      </w:r>
      <w:r>
        <w:rPr>
          <w:rFonts w:ascii="Times New Roman" w:hAnsi="Times New Roman" w:eastAsia="仿宋_GB2312"/>
          <w:sz w:val="28"/>
          <w:szCs w:val="28"/>
        </w:rPr>
        <w:fldChar w:fldCharType="separate"/>
      </w:r>
      <w:r>
        <w:rPr>
          <w:rFonts w:ascii="Times New Roman" w:hAnsi="Times New Roman" w:eastAsia="仿宋_GB2312"/>
          <w:sz w:val="28"/>
          <w:szCs w:val="28"/>
        </w:rPr>
        <w:t>50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_Toc30803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18精对苯二甲酸行业能源使用情况详表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_Toc30803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_Toc11137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19子午线轮胎行业能源使用情况详表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_Toc11137 \h </w:instrText>
      </w:r>
      <w:r>
        <w:rPr>
          <w:rFonts w:ascii="Times New Roman" w:hAnsi="Times New Roman" w:eastAsia="仿宋_GB2312"/>
          <w:sz w:val="28"/>
          <w:szCs w:val="28"/>
        </w:rPr>
        <w:fldChar w:fldCharType="separate"/>
      </w:r>
      <w:r>
        <w:rPr>
          <w:rFonts w:ascii="Times New Roman" w:hAnsi="Times New Roman" w:eastAsia="仿宋_GB2312"/>
          <w:sz w:val="28"/>
          <w:szCs w:val="28"/>
        </w:rPr>
        <w:t>54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_Toc18773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20钢铁行业能源使用情况详表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_Toc18773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_Toc2798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21铁合金冶炼行业能源使用情况详表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_Toc2798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_Toc29013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val="0"/>
          <w:sz w:val="28"/>
          <w:szCs w:val="28"/>
        </w:rPr>
        <w:t>附表</w:t>
      </w:r>
      <w:r>
        <w:rPr>
          <w:rFonts w:hint="eastAsia" w:ascii="Times New Roman" w:hAnsi="Times New Roman" w:eastAsia="仿宋_GB2312" w:cs="Times New Roman"/>
          <w:bCs w:val="0"/>
          <w:sz w:val="28"/>
          <w:szCs w:val="28"/>
          <w:lang w:val="en-US" w:eastAsia="zh-CN"/>
        </w:rPr>
        <w:t>22铜冶炼行业能源使用情况详表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_Toc29013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_Toc1849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23铅冶炼行业能源使用情况详表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_Toc1849 \h </w:instrText>
      </w:r>
      <w:r>
        <w:rPr>
          <w:rFonts w:ascii="Times New Roman" w:hAnsi="Times New Roman" w:eastAsia="仿宋_GB2312"/>
          <w:sz w:val="28"/>
          <w:szCs w:val="28"/>
        </w:rPr>
        <w:fldChar w:fldCharType="separate"/>
      </w:r>
      <w:r>
        <w:rPr>
          <w:rFonts w:ascii="Times New Roman" w:hAnsi="Times New Roman" w:eastAsia="仿宋_GB2312"/>
          <w:sz w:val="28"/>
          <w:szCs w:val="28"/>
        </w:rPr>
        <w:t>66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_Toc19000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24锌冶炼行业能源使用情况详表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_Toc19000 \h </w:instrText>
      </w:r>
      <w:r>
        <w:rPr>
          <w:rFonts w:ascii="Times New Roman" w:hAnsi="Times New Roman" w:eastAsia="仿宋_GB2312"/>
          <w:sz w:val="28"/>
          <w:szCs w:val="28"/>
        </w:rPr>
        <w:fldChar w:fldCharType="separate"/>
      </w:r>
      <w:r>
        <w:rPr>
          <w:rFonts w:ascii="Times New Roman" w:hAnsi="Times New Roman" w:eastAsia="仿宋_GB2312"/>
          <w:sz w:val="28"/>
          <w:szCs w:val="28"/>
        </w:rPr>
        <w:t>69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_Toc4971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25电解铝行业能源使用情况详表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_Toc4971 \h </w:instrText>
      </w:r>
      <w:r>
        <w:rPr>
          <w:rFonts w:ascii="Times New Roman" w:hAnsi="Times New Roman" w:eastAsia="仿宋_GB2312"/>
          <w:sz w:val="28"/>
          <w:szCs w:val="28"/>
        </w:rPr>
        <w:fldChar w:fldCharType="separate"/>
      </w:r>
      <w:r>
        <w:rPr>
          <w:rFonts w:ascii="Times New Roman" w:hAnsi="Times New Roman" w:eastAsia="仿宋_GB2312"/>
          <w:sz w:val="28"/>
          <w:szCs w:val="28"/>
        </w:rPr>
        <w:t>71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_Toc24750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26氧化铝行业能源使用情况详表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_Toc24750 \h </w:instrText>
      </w:r>
      <w:r>
        <w:rPr>
          <w:rFonts w:ascii="Times New Roman" w:hAnsi="Times New Roman" w:eastAsia="仿宋_GB2312"/>
          <w:sz w:val="28"/>
          <w:szCs w:val="28"/>
        </w:rPr>
        <w:fldChar w:fldCharType="separate"/>
      </w:r>
      <w:r>
        <w:rPr>
          <w:rFonts w:ascii="Times New Roman" w:hAnsi="Times New Roman" w:eastAsia="仿宋_GB2312"/>
          <w:sz w:val="28"/>
          <w:szCs w:val="28"/>
        </w:rPr>
        <w:t>73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_Toc8192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27工业硅行业能源使用情况详表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_Toc8192 \h </w:instrText>
      </w:r>
      <w:r>
        <w:rPr>
          <w:rFonts w:ascii="Times New Roman" w:hAnsi="Times New Roman" w:eastAsia="仿宋_GB2312"/>
          <w:sz w:val="28"/>
          <w:szCs w:val="28"/>
        </w:rPr>
        <w:fldChar w:fldCharType="separate"/>
      </w:r>
      <w:r>
        <w:rPr>
          <w:rFonts w:ascii="Times New Roman" w:hAnsi="Times New Roman" w:eastAsia="仿宋_GB2312"/>
          <w:sz w:val="28"/>
          <w:szCs w:val="28"/>
        </w:rPr>
        <w:t>75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_Toc18348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28镁冶炼行业能源使用情况详表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_Toc18348 \h </w:instrText>
      </w:r>
      <w:r>
        <w:rPr>
          <w:rFonts w:ascii="Times New Roman" w:hAnsi="Times New Roman" w:eastAsia="仿宋_GB2312"/>
          <w:sz w:val="28"/>
          <w:szCs w:val="28"/>
        </w:rPr>
        <w:fldChar w:fldCharType="separate"/>
      </w:r>
      <w:r>
        <w:rPr>
          <w:rFonts w:ascii="Times New Roman" w:hAnsi="Times New Roman" w:eastAsia="仿宋_GB2312"/>
          <w:sz w:val="28"/>
          <w:szCs w:val="28"/>
        </w:rPr>
        <w:t>78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_Toc20210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29水泥行业能源使用情况详表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_Toc20210 \h </w:instrText>
      </w:r>
      <w:r>
        <w:rPr>
          <w:rFonts w:ascii="Times New Roman" w:hAnsi="Times New Roman" w:eastAsia="仿宋_GB2312"/>
          <w:sz w:val="28"/>
          <w:szCs w:val="28"/>
        </w:rPr>
        <w:fldChar w:fldCharType="separate"/>
      </w:r>
      <w:r>
        <w:rPr>
          <w:rFonts w:ascii="Times New Roman" w:hAnsi="Times New Roman" w:eastAsia="仿宋_GB2312"/>
          <w:sz w:val="28"/>
          <w:szCs w:val="28"/>
        </w:rPr>
        <w:t>80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_Toc28850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30平板玻璃行业能源使用情况详表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_Toc28850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_Toc3434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31建筑陶瓷行业能源使用情况详表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_Toc3434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_Toc30536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32卫生陶瓷行业能源使用情况详表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_Toc30536 \h </w:instrText>
      </w:r>
      <w:r>
        <w:rPr>
          <w:rFonts w:ascii="Times New Roman" w:hAnsi="Times New Roman" w:eastAsia="仿宋_GB2312"/>
          <w:sz w:val="28"/>
          <w:szCs w:val="28"/>
        </w:rPr>
        <w:fldChar w:fldCharType="separate"/>
      </w:r>
      <w:r>
        <w:rPr>
          <w:rFonts w:ascii="Times New Roman" w:hAnsi="Times New Roman" w:eastAsia="仿宋_GB2312"/>
          <w:sz w:val="28"/>
          <w:szCs w:val="28"/>
        </w:rPr>
        <w:t>89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_Toc26572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33卫生纸原纸、纸巾原纸行业能源使用情况详表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_Toc26572 \h </w:instrText>
      </w:r>
      <w:r>
        <w:rPr>
          <w:rFonts w:ascii="Times New Roman" w:hAnsi="Times New Roman" w:eastAsia="仿宋_GB2312"/>
          <w:sz w:val="28"/>
          <w:szCs w:val="28"/>
        </w:rPr>
        <w:fldChar w:fldCharType="separate"/>
      </w:r>
      <w:r>
        <w:rPr>
          <w:rFonts w:ascii="Times New Roman" w:hAnsi="Times New Roman" w:eastAsia="仿宋_GB2312"/>
          <w:sz w:val="28"/>
          <w:szCs w:val="28"/>
        </w:rPr>
        <w:t>92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_Toc341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34棉、化纤及混纺机织物行业能源使用情况详表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_Toc341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_Toc21292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35针织物、纱线行业能源使用情况详表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_Toc21292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_Toc9022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36粘胶短纤维行业能源使用情况详表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_Toc9022 \h </w:instrText>
      </w:r>
      <w:r>
        <w:rPr>
          <w:rFonts w:ascii="Times New Roman" w:hAnsi="Times New Roman" w:eastAsia="仿宋_GB2312"/>
          <w:sz w:val="28"/>
          <w:szCs w:val="28"/>
        </w:rPr>
        <w:fldChar w:fldCharType="separate"/>
      </w:r>
      <w:r>
        <w:rPr>
          <w:rFonts w:ascii="Times New Roman" w:hAnsi="Times New Roman" w:eastAsia="仿宋_GB2312"/>
          <w:sz w:val="28"/>
          <w:szCs w:val="28"/>
        </w:rPr>
        <w:t>101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_Toc16247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37聚酯涤纶行业能源使用情况详表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_Toc16247 \h </w:instrText>
      </w:r>
      <w:r>
        <w:rPr>
          <w:rFonts w:ascii="Times New Roman" w:hAnsi="Times New Roman" w:eastAsia="仿宋_GB2312"/>
          <w:sz w:val="28"/>
          <w:szCs w:val="28"/>
        </w:rPr>
        <w:fldChar w:fldCharType="separate"/>
      </w:r>
      <w:r>
        <w:rPr>
          <w:rFonts w:ascii="Times New Roman" w:hAnsi="Times New Roman" w:eastAsia="仿宋_GB2312"/>
          <w:sz w:val="28"/>
          <w:szCs w:val="28"/>
        </w:rPr>
        <w:t>104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2"/>
        <w:rPr>
          <w:rFonts w:hint="default"/>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rPr>
        <w:fldChar w:fldCharType="end"/>
      </w:r>
    </w:p>
    <w:p>
      <w:pPr>
        <w:widowControl/>
        <w:jc w:val="center"/>
        <w:outlineLvl w:val="0"/>
        <w:rPr>
          <w:rFonts w:hint="eastAsia" w:ascii="方正小标宋简体" w:hAnsi="方正小标宋简体" w:eastAsia="方正小标宋简体" w:cs="方正小标宋简体"/>
          <w:b w:val="0"/>
          <w:bCs/>
          <w:color w:val="000000"/>
          <w:sz w:val="36"/>
        </w:rPr>
      </w:pPr>
      <w:bookmarkStart w:id="1" w:name="_Toc340"/>
      <w:bookmarkStart w:id="2" w:name="_Toc30405"/>
    </w:p>
    <w:p>
      <w:pPr>
        <w:widowControl/>
        <w:jc w:val="center"/>
        <w:outlineLvl w:val="0"/>
        <w:rPr>
          <w:rFonts w:hint="default" w:ascii="Times New Roman" w:hAnsi="Times New Roman" w:eastAsia="仿宋" w:cs="Times New Roman"/>
          <w:b/>
          <w:color w:val="000000"/>
          <w:sz w:val="36"/>
        </w:rPr>
      </w:pPr>
      <w:r>
        <w:rPr>
          <w:rFonts w:hint="eastAsia" w:ascii="方正小标宋简体" w:hAnsi="方正小标宋简体" w:eastAsia="方正小标宋简体" w:cs="方正小标宋简体"/>
          <w:b w:val="0"/>
          <w:bCs/>
          <w:color w:val="000000"/>
          <w:sz w:val="36"/>
        </w:rPr>
        <w:t>企业基本信息表</w:t>
      </w:r>
      <w:bookmarkEnd w:id="1"/>
      <w:bookmarkEnd w:id="2"/>
    </w:p>
    <w:p>
      <w:pPr>
        <w:spacing w:line="320" w:lineRule="exact"/>
        <w:jc w:val="left"/>
        <w:rPr>
          <w:rFonts w:hint="default" w:ascii="Times New Roman" w:hAnsi="Times New Roman" w:cs="Times New Roman"/>
          <w:color w:val="00000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行业强制性能耗限额标准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能耗限额标准先进值</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pPr>
    </w:p>
    <w:p>
      <w:pPr>
        <w:jc w:val="center"/>
        <w:outlineLvl w:val="0"/>
        <w:rPr>
          <w:rFonts w:hint="default"/>
        </w:rPr>
      </w:pPr>
      <w:r>
        <w:rPr>
          <w:rFonts w:hint="default"/>
        </w:rPr>
        <w:br w:type="page"/>
      </w:r>
      <w:bookmarkStart w:id="3" w:name="_Toc29685"/>
      <w:bookmarkStart w:id="4" w:name="_Toc12409"/>
    </w:p>
    <w:p>
      <w:pPr>
        <w:jc w:val="center"/>
        <w:outlineLvl w:val="0"/>
        <w:rPr>
          <w:rFonts w:hint="eastAsia" w:ascii="方正小标宋简体" w:hAnsi="方正小标宋简体" w:eastAsia="方正小标宋简体" w:cs="方正小标宋简体"/>
          <w:sz w:val="36"/>
          <w:szCs w:val="36"/>
          <w:lang w:val="en-US" w:eastAsia="zh-CN"/>
        </w:rPr>
      </w:pPr>
      <w:bookmarkStart w:id="160" w:name="_GoBack"/>
      <w:r>
        <w:rPr>
          <w:rFonts w:hint="eastAsia" w:ascii="方正小标宋简体" w:hAnsi="方正小标宋简体" w:eastAsia="方正小标宋简体" w:cs="方正小标宋简体"/>
          <w:sz w:val="36"/>
          <w:szCs w:val="36"/>
          <w:highlight w:val="none"/>
          <w:lang w:val="en-US" w:eastAsia="zh-CN"/>
        </w:rPr>
        <w:t>XXXX企业节能提效主要做法和先进经验</w:t>
      </w:r>
      <w:bookmarkEnd w:id="3"/>
      <w:bookmarkEnd w:id="4"/>
    </w:p>
    <w:p>
      <w:pPr>
        <w:jc w:val="center"/>
        <w:rPr>
          <w:rFonts w:hint="default" w:ascii="Times New Roman" w:hAnsi="Times New Roman" w:eastAsia="黑体" w:cs="Times New Roman"/>
          <w:lang w:val="en-US" w:eastAsia="zh-CN"/>
        </w:rPr>
      </w:pPr>
    </w:p>
    <w:p>
      <w:pPr>
        <w:pStyle w:val="4"/>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5" w:name="_Toc21066"/>
      <w:bookmarkStart w:id="6" w:name="_Toc29617"/>
      <w:r>
        <w:rPr>
          <w:rFonts w:hint="default" w:ascii="Times New Roman" w:hAnsi="Times New Roman" w:eastAsia="黑体" w:cs="Times New Roman"/>
          <w:b w:val="0"/>
          <w:bCs w:val="0"/>
          <w:sz w:val="32"/>
          <w:szCs w:val="32"/>
          <w:lang w:val="en-US" w:eastAsia="zh-CN"/>
        </w:rPr>
        <w:t>一、企业基本情况（500字以内）</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7" w:name="_Toc264"/>
      <w:bookmarkStart w:id="8" w:name="_Toc21383"/>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w:t>
      </w:r>
      <w:r>
        <w:rPr>
          <w:rFonts w:hint="eastAsia" w:ascii="Times New Roman" w:hAnsi="Times New Roman" w:eastAsia="仿宋_GB2312" w:cs="Times New Roman"/>
          <w:color w:val="auto"/>
          <w:sz w:val="32"/>
          <w:szCs w:val="32"/>
          <w:lang w:val="en-US" w:eastAsia="zh-CN"/>
        </w:rPr>
        <w:t>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占比情况；工艺路线水平、装备技术水平、用能设备种类及数量，高效装备数量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w:t>
      </w:r>
      <w:r>
        <w:rPr>
          <w:rFonts w:hint="default" w:ascii="Times New Roman" w:hAnsi="Times New Roman" w:eastAsia="仿宋_GB2312" w:cs="Times New Roman"/>
          <w:color w:val="auto"/>
          <w:sz w:val="32"/>
          <w:szCs w:val="32"/>
          <w:lang w:val="en-US" w:eastAsia="zh-CN"/>
        </w:rPr>
        <w:t>；余热余能利用情况；技术改造、技术创新、装备升级；数字化手段、能源管理中心、智慧能源管理；节能诊断、管理体系等，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高清图片。可行时，提供企业工艺流程图，并标注各环节节能率及节能量。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原油加工、乙烯、对二甲苯、煤制甲醇、煤制烯烃、煤制乙二醇、合成氨、电石、烧碱、纯碱、磷酸一铵、磷酸二铵、黄磷、水泥、平板玻璃、钢铁、煤制焦炭、铁合金冶炼、铜冶炼、电解铝、铅冶炼、锌冶炼行业企业请依据《高耗能行业重点领域节能降碳改造升级实施指南（2022年版）》（</w:t>
      </w:r>
      <w:r>
        <w:rPr>
          <w:rFonts w:hint="eastAsia" w:ascii="Times New Roman" w:hAnsi="Times New Roman" w:eastAsia="仿宋_GB2312" w:cs="Times New Roman"/>
          <w:color w:val="auto"/>
          <w:sz w:val="32"/>
          <w:szCs w:val="32"/>
        </w:rPr>
        <w:t>发改产业〔2022〕200号</w:t>
      </w:r>
      <w:r>
        <w:rPr>
          <w:rFonts w:hint="eastAsia"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9" w:name="_Toc2070"/>
      <w:bookmarkStart w:id="10" w:name="_Toc4715"/>
      <w:r>
        <w:rPr>
          <w:rFonts w:hint="default" w:ascii="Times New Roman" w:hAnsi="Times New Roman" w:eastAsia="黑体" w:cs="Times New Roman"/>
          <w:b w:val="0"/>
          <w:bCs w:val="0"/>
          <w:color w:val="auto"/>
          <w:sz w:val="32"/>
          <w:szCs w:val="32"/>
          <w:lang w:val="en-US" w:eastAsia="zh-CN"/>
        </w:rPr>
        <w:t>三、主要成效（300字以内）</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w:t>
      </w:r>
      <w:r>
        <w:rPr>
          <w:rFonts w:hint="eastAsia" w:ascii="Times New Roman" w:hAnsi="Times New Roman" w:eastAsia="仿宋_GB2312" w:cs="Times New Roman"/>
          <w:b w:val="0"/>
          <w:bCs w:val="0"/>
          <w:color w:val="auto"/>
          <w:sz w:val="32"/>
          <w:szCs w:val="32"/>
          <w:lang w:val="en-US" w:eastAsia="zh-CN"/>
        </w:rPr>
        <w:t>、绿电使用比例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，以及绿色低碳方面的主要成效</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bookmarkStart w:id="11" w:name="_Toc14041"/>
      <w:bookmarkStart w:id="12" w:name="_Toc23207"/>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企业能效分析报告（格式）</w:t>
      </w:r>
      <w:bookmarkEnd w:id="11"/>
      <w:bookmarkEnd w:id="12"/>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bookmarkStart w:id="13" w:name="_Toc27513"/>
      <w:bookmarkStart w:id="14" w:name="_Toc3303"/>
      <w:r>
        <w:rPr>
          <w:rFonts w:hint="default" w:ascii="Times New Roman" w:hAnsi="Times New Roman" w:eastAsia="黑体" w:cs="Times New Roman"/>
          <w:color w:val="000000"/>
          <w:sz w:val="32"/>
        </w:rPr>
        <w:t>一、基本情况</w:t>
      </w:r>
      <w:bookmarkEnd w:id="13"/>
      <w:bookmarkEnd w:id="14"/>
    </w:p>
    <w:p>
      <w:pPr>
        <w:pStyle w:val="6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bookmarkStart w:id="15" w:name="_Toc9418"/>
      <w:bookmarkStart w:id="16" w:name="_Toc18493"/>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15"/>
      <w:bookmarkEnd w:id="16"/>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bookmarkStart w:id="17" w:name="_Toc28712"/>
      <w:bookmarkStart w:id="18" w:name="_Toc31863"/>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17"/>
      <w:bookmarkEnd w:id="18"/>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bookmarkStart w:id="19" w:name="_Toc3843"/>
      <w:bookmarkStart w:id="20" w:name="_Toc32590"/>
      <w:bookmarkStart w:id="21" w:name="_Toc14864"/>
      <w:r>
        <w:rPr>
          <w:rStyle w:val="45"/>
          <w:rFonts w:hint="eastAsia" w:ascii="楷体_GB2312" w:hAnsi="楷体_GB2312" w:eastAsia="楷体_GB2312" w:cs="楷体_GB2312"/>
        </w:rPr>
        <w:t>（一）管理</w:t>
      </w:r>
      <w:r>
        <w:rPr>
          <w:rStyle w:val="45"/>
          <w:rFonts w:ascii="楷体_GB2312" w:hAnsi="楷体_GB2312" w:eastAsia="楷体_GB2312" w:cs="楷体_GB2312"/>
        </w:rPr>
        <w:t>措施</w:t>
      </w:r>
      <w:r>
        <w:rPr>
          <w:rStyle w:val="45"/>
          <w:rFonts w:hint="eastAsia" w:ascii="楷体_GB2312" w:hAnsi="楷体_GB2312" w:eastAsia="楷体_GB2312" w:cs="楷体_GB2312"/>
        </w:rPr>
        <w:t>。</w:t>
      </w:r>
      <w:bookmarkEnd w:id="19"/>
      <w:bookmarkEnd w:id="20"/>
      <w:bookmarkEnd w:id="21"/>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bookmarkStart w:id="22" w:name="_Toc23477"/>
      <w:bookmarkStart w:id="23" w:name="_Toc26895"/>
      <w:bookmarkStart w:id="24" w:name="_Toc23889"/>
      <w:r>
        <w:rPr>
          <w:rStyle w:val="45"/>
          <w:rFonts w:hint="eastAsia" w:ascii="楷体_GB2312" w:hAnsi="楷体_GB2312" w:eastAsia="楷体_GB2312" w:cs="楷体_GB2312"/>
        </w:rPr>
        <w:t>（二）技术改造。</w:t>
      </w:r>
      <w:bookmarkEnd w:id="22"/>
      <w:bookmarkEnd w:id="23"/>
      <w:bookmarkEnd w:id="24"/>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bookmarkStart w:id="25" w:name="_Toc222"/>
      <w:bookmarkStart w:id="26" w:name="_Toc17021"/>
      <w:bookmarkStart w:id="27" w:name="_Toc10373"/>
      <w:r>
        <w:rPr>
          <w:rStyle w:val="45"/>
          <w:rFonts w:hint="eastAsia" w:ascii="楷体_GB2312" w:hAnsi="楷体_GB2312" w:eastAsia="楷体_GB2312" w:cs="楷体_GB2312"/>
        </w:rPr>
        <w:t>（三）工艺革新。</w:t>
      </w:r>
      <w:bookmarkEnd w:id="25"/>
      <w:bookmarkEnd w:id="26"/>
      <w:bookmarkEnd w:id="27"/>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提升绿色电力使用比例情况及成效。</w:t>
      </w:r>
    </w:p>
    <w:p>
      <w:pPr>
        <w:spacing w:line="600" w:lineRule="exact"/>
        <w:ind w:firstLine="640" w:firstLineChars="200"/>
        <w:outlineLvl w:val="0"/>
        <w:rPr>
          <w:rFonts w:hint="default" w:ascii="Times New Roman" w:hAnsi="Times New Roman" w:eastAsia="黑体" w:cs="Times New Roman"/>
          <w:color w:val="000000"/>
          <w:sz w:val="32"/>
        </w:rPr>
      </w:pPr>
      <w:bookmarkStart w:id="28" w:name="_Toc3268"/>
      <w:bookmarkStart w:id="29" w:name="_Toc10809"/>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28"/>
      <w:bookmarkEnd w:id="29"/>
    </w:p>
    <w:p>
      <w:pPr>
        <w:spacing w:line="600" w:lineRule="exact"/>
        <w:ind w:firstLine="640" w:firstLineChars="200"/>
        <w:outlineLvl w:val="0"/>
        <w:rPr>
          <w:rFonts w:hint="default" w:ascii="Times New Roman" w:hAnsi="Times New Roman" w:eastAsia="仿宋_GB2312" w:cs="Times New Roman"/>
          <w:color w:val="000000"/>
          <w:sz w:val="32"/>
        </w:rPr>
      </w:pPr>
      <w:bookmarkStart w:id="30" w:name="_Toc19319"/>
      <w:bookmarkStart w:id="31" w:name="_Toc5606"/>
      <w:bookmarkStart w:id="32" w:name="_Toc32327"/>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30"/>
      <w:bookmarkEnd w:id="31"/>
      <w:bookmarkEnd w:id="32"/>
    </w:p>
    <w:p>
      <w:pPr>
        <w:spacing w:line="600" w:lineRule="exact"/>
        <w:ind w:firstLine="640" w:firstLineChars="200"/>
        <w:outlineLvl w:val="0"/>
        <w:rPr>
          <w:rFonts w:hint="default" w:ascii="Times New Roman" w:hAnsi="Times New Roman" w:eastAsia="黑体" w:cs="Times New Roman"/>
          <w:color w:val="000000"/>
          <w:sz w:val="32"/>
        </w:rPr>
      </w:pPr>
      <w:bookmarkStart w:id="33" w:name="_Toc658"/>
      <w:bookmarkStart w:id="34" w:name="_Toc27249"/>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33"/>
      <w:bookmarkEnd w:id="34"/>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5" w:name="_Toc11195"/>
      <w:bookmarkStart w:id="36" w:name="_Toc8932"/>
      <w:bookmarkStart w:id="37" w:name="_Toc26434"/>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35"/>
      <w:bookmarkEnd w:id="36"/>
      <w:bookmarkEnd w:id="37"/>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8" w:name="_Toc8339"/>
      <w:bookmarkStart w:id="39" w:name="_Toc12359"/>
      <w:bookmarkStart w:id="40" w:name="_Toc8421"/>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38"/>
      <w:bookmarkEnd w:id="39"/>
      <w:bookmarkEnd w:id="40"/>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szCs w:val="22"/>
        </w:rPr>
      </w:pPr>
      <w:bookmarkStart w:id="41" w:name="_Toc7630"/>
      <w:bookmarkStart w:id="42" w:name="_Toc19052"/>
      <w:bookmarkStart w:id="43" w:name="_Toc5700"/>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41"/>
      <w:bookmarkEnd w:id="42"/>
      <w:bookmarkEnd w:id="43"/>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44" w:name="_Toc3527"/>
      <w:bookmarkStart w:id="45" w:name="_Toc30644"/>
      <w:bookmarkStart w:id="46" w:name="_Toc19727"/>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44"/>
      <w:bookmarkEnd w:id="45"/>
      <w:bookmarkEnd w:id="46"/>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lang w:val="en-US" w:eastAsia="zh-CN"/>
        </w:rPr>
      </w:pPr>
      <w:bookmarkStart w:id="47" w:name="_Toc32734"/>
      <w:bookmarkStart w:id="48" w:name="_Toc8102"/>
      <w:bookmarkStart w:id="49" w:name="_Toc22029"/>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bookmarkEnd w:id="47"/>
      <w:bookmarkEnd w:id="48"/>
      <w:bookmarkEnd w:id="49"/>
    </w:p>
    <w:p>
      <w:pPr>
        <w:widowControl/>
        <w:jc w:val="left"/>
        <w:outlineLvl w:val="0"/>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0" w:name="_Toc28025"/>
      <w:bookmarkStart w:id="51" w:name="_Toc20542"/>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50"/>
      <w:bookmarkEnd w:id="51"/>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bookmarkEnd w:id="160"/>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eastAsia="zh-CN"/>
        </w:rPr>
      </w:pPr>
      <w:bookmarkStart w:id="52" w:name="_Toc7965"/>
      <w:bookmarkStart w:id="53" w:name="_Toc12287"/>
      <w:bookmarkStart w:id="54" w:name="_Toc23971"/>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eastAsia="zh-CN"/>
        </w:rPr>
        <w:t>2</w:t>
      </w:r>
      <w:bookmarkEnd w:id="52"/>
      <w:bookmarkEnd w:id="53"/>
      <w:bookmarkEnd w:id="54"/>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lang w:val="en-US" w:eastAsia="zh-CN"/>
        </w:rPr>
        <w:t>煤制焦炭</w:t>
      </w:r>
      <w:r>
        <w:rPr>
          <w:rFonts w:hint="eastAsia" w:ascii="方正小标宋简体" w:hAnsi="方正小标宋简体" w:eastAsia="方正小标宋简体" w:cs="方正小标宋简体"/>
          <w:bCs/>
          <w:sz w:val="36"/>
          <w:szCs w:val="22"/>
        </w:rPr>
        <w:t>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16"/>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5" w:name="_Toc20122"/>
      <w:bookmarkStart w:id="56" w:name="_Toc11802"/>
      <w:bookmarkStart w:id="57" w:name="_Toc15253"/>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55"/>
      <w:bookmarkEnd w:id="56"/>
      <w:bookmarkEnd w:id="5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07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color w:val="000000"/>
          <w:sz w:val="36"/>
          <w:lang w:val="en-US" w:eastAsia="zh-CN"/>
        </w:rPr>
      </w:pPr>
      <w:bookmarkStart w:id="58" w:name="_Toc27569"/>
      <w:bookmarkStart w:id="59" w:name="_Toc18100"/>
      <w:bookmarkStart w:id="60" w:name="_Toc3123"/>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4</w:t>
      </w:r>
      <w:bookmarkEnd w:id="58"/>
      <w:bookmarkEnd w:id="59"/>
      <w:bookmarkEnd w:id="6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主产品</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MTO工艺</w:t>
            </w: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上一年度产量（万吨）</w:t>
            </w: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吨烯烃综合能耗（千克标准煤/吨乙烯和丙烯或丙烯）</w:t>
            </w: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乙烯和丙烯（MTO）</w:t>
            </w:r>
          </w:p>
        </w:tc>
        <w:tc>
          <w:tcPr>
            <w:tcW w:w="1053"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084"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default" w:ascii="Times New Roman" w:hAnsi="Times New Roman" w:eastAsia="仿宋_GB2312" w:cs="Times New Roman"/>
                <w:b w:val="0"/>
                <w:bCs/>
                <w:i w:val="0"/>
                <w:color w:val="000000"/>
                <w:kern w:val="0"/>
                <w:sz w:val="24"/>
                <w:szCs w:val="24"/>
                <w:u w:val="none"/>
                <w:lang w:val="en-US" w:eastAsia="zh-CN" w:bidi="ar"/>
              </w:rPr>
              <w:t>丙烯(MTP)</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1242"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166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配套电机功率（千瓦）</w:t>
            </w:r>
          </w:p>
        </w:tc>
        <w:tc>
          <w:tcPr>
            <w:tcW w:w="117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1647"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年运行时间（小时）</w:t>
            </w:r>
          </w:p>
        </w:tc>
        <w:tc>
          <w:tcPr>
            <w:tcW w:w="180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55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1" w:name="_Toc6451"/>
      <w:bookmarkStart w:id="62" w:name="_Toc19998"/>
      <w:bookmarkStart w:id="63" w:name="_Toc1239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5</w:t>
      </w:r>
      <w:bookmarkEnd w:id="61"/>
      <w:bookmarkEnd w:id="62"/>
      <w:bookmarkEnd w:id="6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64" w:name="_Toc17874"/>
      <w:bookmarkStart w:id="65" w:name="_Toc21413"/>
      <w:bookmarkStart w:id="66" w:name="_Toc14924"/>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6</w:t>
      </w:r>
      <w:bookmarkEnd w:id="64"/>
      <w:bookmarkEnd w:id="65"/>
      <w:bookmarkEnd w:id="6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纯碱行业能源使用情况详表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592"/>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9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7" w:name="_Toc28394"/>
      <w:bookmarkStart w:id="68" w:name="_Toc5267"/>
      <w:bookmarkStart w:id="69" w:name="_Toc25405"/>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bookmarkEnd w:id="67"/>
      <w:bookmarkEnd w:id="68"/>
      <w:bookmarkEnd w:id="6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742"/>
        <w:gridCol w:w="1079"/>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7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44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70" w:name="_Toc26734"/>
      <w:bookmarkStart w:id="71" w:name="_Toc10149"/>
      <w:bookmarkStart w:id="72" w:name="_Toc1241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bookmarkEnd w:id="70"/>
      <w:bookmarkEnd w:id="71"/>
      <w:bookmarkEnd w:id="7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bidi w:val="0"/>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3" w:name="_Toc11452"/>
      <w:bookmarkStart w:id="74" w:name="_Toc14554"/>
      <w:bookmarkStart w:id="75" w:name="_Toc7424"/>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9</w:t>
      </w:r>
      <w:bookmarkEnd w:id="73"/>
      <w:bookmarkEnd w:id="74"/>
      <w:bookmarkEnd w:id="7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6" w:name="_Toc9799"/>
      <w:bookmarkStart w:id="77" w:name="_Toc17272"/>
      <w:bookmarkStart w:id="78" w:name="_Toc3247"/>
      <w:r>
        <w:rPr>
          <w:rFonts w:hint="eastAsia" w:ascii="Times New Roman" w:hAnsi="Times New Roman" w:eastAsia="黑体" w:cs="Times New Roman"/>
          <w:bCs/>
          <w:color w:val="000000"/>
          <w:sz w:val="32"/>
          <w:szCs w:val="21"/>
          <w:lang w:val="en-US" w:eastAsia="zh-CN"/>
        </w:rPr>
        <w:t>附表10</w:t>
      </w:r>
      <w:bookmarkEnd w:id="76"/>
      <w:bookmarkEnd w:id="77"/>
      <w:bookmarkEnd w:id="7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乙二醇</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乙二醇企业主要生产线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016"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年设计产能（万吨）</w:t>
            </w:r>
          </w:p>
        </w:tc>
        <w:tc>
          <w:tcPr>
            <w:tcW w:w="1271"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647"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吨乙二醇综合能耗（千克标准煤）</w:t>
            </w:r>
          </w:p>
        </w:tc>
        <w:tc>
          <w:tcPr>
            <w:tcW w:w="1409"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 乙二醇企业主要用电设备表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数量</w:t>
            </w:r>
          </w:p>
        </w:tc>
        <w:tc>
          <w:tcPr>
            <w:tcW w:w="113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 乙二醇企业能源消耗统计表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346"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折标煤（吨标煤）</w:t>
            </w:r>
          </w:p>
        </w:tc>
        <w:tc>
          <w:tcPr>
            <w:tcW w:w="2595"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Times New Roman" w:hAnsi="Times New Roman" w:eastAsia="仿宋_GB2312"/>
                <w:b w:val="0"/>
                <w:sz w:val="24"/>
                <w:szCs w:val="24"/>
              </w:rPr>
            </w:pPr>
          </w:p>
        </w:tc>
        <w:tc>
          <w:tcPr>
            <w:tcW w:w="4388" w:type="dxa"/>
            <w:vMerge w:val="continue"/>
            <w:noWrap w:val="0"/>
            <w:vAlign w:val="top"/>
          </w:tcPr>
          <w:p>
            <w:pPr>
              <w:widowControl/>
              <w:jc w:val="left"/>
              <w:rPr>
                <w:rFonts w:ascii="Times New Roman" w:hAnsi="Times New Roman" w:eastAsia="仿宋_GB2312"/>
                <w:b w:val="0"/>
                <w:sz w:val="24"/>
                <w:szCs w:val="24"/>
              </w:rPr>
            </w:pP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pPr>
              <w:widowControl/>
              <w:jc w:val="left"/>
              <w:rPr>
                <w:rFonts w:ascii="Times New Roman" w:hAnsi="Times New Roman" w:eastAsia="仿宋_GB2312"/>
                <w:b w:val="0"/>
                <w:sz w:val="24"/>
                <w:szCs w:val="24"/>
              </w:rPr>
            </w:pPr>
          </w:p>
        </w:tc>
        <w:tc>
          <w:tcPr>
            <w:tcW w:w="2595" w:type="dxa"/>
            <w:vMerge w:val="continue"/>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5</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6</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7</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7.2</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8</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9</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bl>
    <w:p>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9" w:name="_Toc12717"/>
      <w:bookmarkStart w:id="80" w:name="_Toc1737"/>
      <w:bookmarkStart w:id="81" w:name="_Toc31531"/>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11</w:t>
      </w:r>
      <w:bookmarkEnd w:id="79"/>
      <w:bookmarkEnd w:id="80"/>
      <w:bookmarkEnd w:id="81"/>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rPr>
          <w:rFonts w:ascii="Times New Roman" w:hAnsi="Times New Roman" w:eastAsia="仿宋"/>
          <w:sz w:val="28"/>
          <w:szCs w:val="28"/>
        </w:rPr>
      </w:pPr>
    </w:p>
    <w:p>
      <w:pPr>
        <w:rPr>
          <w:rFonts w:ascii="Times New Roman" w:hAnsi="Times New Roman" w:eastAsia="仿宋"/>
          <w:sz w:val="28"/>
          <w:szCs w:val="28"/>
        </w:rPr>
      </w:pPr>
    </w:p>
    <w:p>
      <w:pPr>
        <w:rPr>
          <w:rFonts w:hint="eastAsia"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16"/>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335"/>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82" w:name="_Toc14666"/>
      <w:bookmarkStart w:id="83" w:name="_Toc4551"/>
      <w:bookmarkStart w:id="84" w:name="_Toc21471"/>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bookmarkEnd w:id="82"/>
      <w:bookmarkEnd w:id="83"/>
      <w:bookmarkEnd w:id="8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2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5" w:name="_Toc9696"/>
      <w:bookmarkStart w:id="86" w:name="_Toc27518"/>
      <w:bookmarkStart w:id="87" w:name="_Toc23482"/>
      <w:r>
        <w:rPr>
          <w:rFonts w:hint="eastAsia" w:ascii="Times New Roman" w:hAnsi="Times New Roman" w:eastAsia="黑体" w:cs="Times New Roman"/>
          <w:bCs/>
          <w:color w:val="000000"/>
          <w:sz w:val="32"/>
          <w:szCs w:val="21"/>
          <w:lang w:val="en-US" w:eastAsia="zh-CN"/>
        </w:rPr>
        <w:t>附表13</w:t>
      </w:r>
      <w:bookmarkEnd w:id="85"/>
      <w:bookmarkEnd w:id="86"/>
      <w:bookmarkEnd w:id="8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尿素</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448"/>
        <w:gridCol w:w="10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p>
        </w:tc>
        <w:tc>
          <w:tcPr>
            <w:tcW w:w="1070" w:type="dxa"/>
            <w:noWrap w:val="0"/>
            <w:vAlign w:val="center"/>
          </w:tcPr>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r>
              <w:rPr>
                <w:rFonts w:hint="default" w:ascii="Times New Roman" w:hAnsi="Times New Roman" w:eastAsia="仿宋_GB2312" w:cs="Times New Roman"/>
                <w:sz w:val="24"/>
                <w:szCs w:val="28"/>
              </w:rPr>
              <w:t>（千克）</w:t>
            </w:r>
          </w:p>
        </w:tc>
        <w:tc>
          <w:tcPr>
            <w:tcW w:w="114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pPr>
              <w:widowControl/>
              <w:adjustRightInd w:val="0"/>
              <w:snapToGrid w:val="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rPr>
        <w:t>。</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8" w:name="_Toc450"/>
      <w:bookmarkStart w:id="89" w:name="_Toc25711"/>
      <w:bookmarkStart w:id="90" w:name="_Toc16824"/>
      <w:r>
        <w:rPr>
          <w:rFonts w:hint="eastAsia" w:ascii="Times New Roman" w:hAnsi="Times New Roman" w:eastAsia="黑体" w:cs="Times New Roman"/>
          <w:bCs/>
          <w:color w:val="000000"/>
          <w:sz w:val="32"/>
          <w:szCs w:val="21"/>
          <w:lang w:val="en-US" w:eastAsia="zh-CN"/>
        </w:rPr>
        <w:t>附表14</w:t>
      </w:r>
      <w:bookmarkEnd w:id="88"/>
      <w:bookmarkEnd w:id="89"/>
      <w:bookmarkEnd w:id="9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磷酸一铵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1" w:name="_Toc16220"/>
      <w:bookmarkStart w:id="92" w:name="_Toc9973"/>
      <w:bookmarkStart w:id="93" w:name="_Toc24732"/>
      <w:r>
        <w:rPr>
          <w:rFonts w:hint="eastAsia" w:ascii="Times New Roman" w:hAnsi="Times New Roman" w:eastAsia="黑体" w:cs="Times New Roman"/>
          <w:bCs/>
          <w:color w:val="000000"/>
          <w:sz w:val="32"/>
          <w:szCs w:val="21"/>
          <w:lang w:val="en-US" w:eastAsia="zh-CN"/>
        </w:rPr>
        <w:t>附表15</w:t>
      </w:r>
      <w:bookmarkEnd w:id="91"/>
      <w:bookmarkEnd w:id="92"/>
      <w:bookmarkEnd w:id="9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磷酸二铵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4" w:name="_Toc31783"/>
      <w:bookmarkStart w:id="95" w:name="_Toc32251"/>
      <w:bookmarkStart w:id="96" w:name="_Toc865"/>
      <w:r>
        <w:rPr>
          <w:rFonts w:hint="eastAsia" w:ascii="Times New Roman" w:hAnsi="Times New Roman" w:eastAsia="黑体" w:cs="Times New Roman"/>
          <w:bCs/>
          <w:color w:val="000000"/>
          <w:sz w:val="32"/>
          <w:szCs w:val="21"/>
          <w:lang w:val="en-US" w:eastAsia="zh-CN"/>
        </w:rPr>
        <w:t>附表16</w:t>
      </w:r>
      <w:bookmarkEnd w:id="94"/>
      <w:bookmarkEnd w:id="95"/>
      <w:bookmarkEnd w:id="96"/>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钛白粉</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-1</w:t>
      </w:r>
      <w:r>
        <w:rPr>
          <w:rFonts w:hint="eastAsia" w:ascii="Times New Roman" w:hAnsi="Times New Roman" w:eastAsia="仿宋_GB2312"/>
          <w:sz w:val="30"/>
          <w:szCs w:val="30"/>
          <w:highlight w:val="none"/>
        </w:rPr>
        <w:t>硫酸法钛白粉</w:t>
      </w:r>
      <w:r>
        <w:rPr>
          <w:rFonts w:ascii="Times New Roman" w:hAnsi="Times New Roman" w:eastAsia="仿宋_GB2312"/>
          <w:sz w:val="30"/>
          <w:szCs w:val="30"/>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-2</w:t>
      </w:r>
      <w:r>
        <w:rPr>
          <w:rFonts w:hint="eastAsia" w:ascii="Times New Roman" w:hAnsi="Times New Roman" w:eastAsia="仿宋_GB2312"/>
          <w:sz w:val="30"/>
          <w:szCs w:val="30"/>
          <w:highlight w:val="none"/>
        </w:rPr>
        <w:t>氯化法钛白粉</w:t>
      </w:r>
      <w:r>
        <w:rPr>
          <w:rFonts w:ascii="Times New Roman" w:hAnsi="Times New Roman" w:eastAsia="仿宋_GB2312"/>
          <w:sz w:val="30"/>
          <w:szCs w:val="30"/>
        </w:rPr>
        <w:t>生产企业主要生产工序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eastAsia="zh-CN"/>
              </w:rPr>
            </w:pPr>
            <w:r>
              <w:rPr>
                <w:rFonts w:hint="eastAsia" w:ascii="Times New Roman" w:hAnsi="Times New Roman" w:eastAsia="仿宋_GB2312"/>
                <w:sz w:val="24"/>
                <w:szCs w:val="21"/>
                <w:lang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表3</w:t>
      </w:r>
      <w:r>
        <w:rPr>
          <w:rFonts w:hint="eastAsia" w:ascii="Times New Roman" w:hAnsi="Times New Roman" w:eastAsia="仿宋_GB2312"/>
          <w:sz w:val="30"/>
          <w:szCs w:val="30"/>
        </w:rPr>
        <w:t xml:space="preserve"> </w:t>
      </w:r>
      <w:r>
        <w:rPr>
          <w:rFonts w:ascii="Times New Roman" w:hAnsi="Times New Roman" w:eastAsia="仿宋_GB2312"/>
          <w:sz w:val="30"/>
          <w:szCs w:val="30"/>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240" w:lineRule="atLeast"/>
        <w:ind w:firstLine="422" w:firstLineChars="200"/>
        <w:rPr>
          <w:rFonts w:ascii="Times New Roman" w:hAnsi="Times New Roman" w:eastAsia="仿宋_GB2312"/>
          <w:b/>
          <w:sz w:val="24"/>
          <w:szCs w:val="24"/>
          <w:highlight w:val="yellow"/>
        </w:rPr>
      </w:pPr>
      <w:r>
        <w:rPr>
          <w:rFonts w:hint="eastAsia" w:ascii="Times New Roman" w:hAnsi="Times New Roman" w:eastAsia="仿宋"/>
          <w:b/>
          <w:bCs/>
        </w:rPr>
        <w:t>注：</w:t>
      </w:r>
      <w:r>
        <w:rPr>
          <w:rFonts w:hint="eastAsia" w:ascii="Times New Roman" w:hAnsi="Times New Roman" w:eastAsia="仿宋"/>
        </w:rPr>
        <w:t>根据企业生产情况添加或删减。</w:t>
      </w:r>
    </w:p>
    <w:p>
      <w:pPr>
        <w:rPr>
          <w:rFonts w:ascii="Times New Roman" w:hAnsi="Times New Roman" w:eastAsia="仿宋_GB2312"/>
          <w:sz w:val="32"/>
          <w:szCs w:val="24"/>
        </w:rPr>
        <w:sectPr>
          <w:pgSz w:w="11906" w:h="16838"/>
          <w:pgMar w:top="1440" w:right="1800" w:bottom="1440" w:left="1800" w:header="851" w:footer="992" w:gutter="0"/>
          <w:pgNumType w:fmt="decimal"/>
          <w:cols w:space="720" w:num="1"/>
          <w:docGrid w:type="lines" w:linePitch="312" w:charSpace="0"/>
        </w:sectPr>
      </w:pPr>
    </w:p>
    <w:p>
      <w:pPr>
        <w:spacing w:line="240" w:lineRule="atLeast"/>
        <w:jc w:val="center"/>
        <w:rPr>
          <w:rFonts w:ascii="Times New Roman" w:hAnsi="Times New Roman" w:eastAsia="仿宋"/>
          <w:b/>
          <w:sz w:val="30"/>
          <w:szCs w:val="30"/>
        </w:rPr>
      </w:pPr>
      <w:r>
        <w:rPr>
          <w:rFonts w:hint="eastAsia" w:ascii="Times New Roman" w:hAnsi="Times New Roman" w:eastAsia="仿宋"/>
          <w:sz w:val="30"/>
          <w:szCs w:val="30"/>
        </w:rPr>
        <w:t>表4  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01"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折标煤（吨标煤）</w:t>
            </w:r>
          </w:p>
        </w:tc>
        <w:tc>
          <w:tcPr>
            <w:tcW w:w="3450"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01" w:type="dxa"/>
            <w:vMerge w:val="continue"/>
            <w:noWrap w:val="0"/>
            <w:vAlign w:val="top"/>
          </w:tcPr>
          <w:p>
            <w:pPr>
              <w:widowControl/>
              <w:jc w:val="left"/>
              <w:rPr>
                <w:rFonts w:ascii="Times New Roman" w:hAnsi="Times New Roman" w:eastAsia="仿宋_GB2312" w:cs="仿宋_GB2312"/>
                <w:b/>
                <w:sz w:val="24"/>
                <w:szCs w:val="21"/>
              </w:rPr>
            </w:pPr>
          </w:p>
        </w:tc>
        <w:tc>
          <w:tcPr>
            <w:tcW w:w="4388" w:type="dxa"/>
            <w:vMerge w:val="continue"/>
            <w:noWrap w:val="0"/>
            <w:vAlign w:val="top"/>
          </w:tcPr>
          <w:p>
            <w:pPr>
              <w:widowControl/>
              <w:jc w:val="left"/>
              <w:rPr>
                <w:rFonts w:ascii="Times New Roman" w:hAnsi="Times New Roman" w:eastAsia="仿宋_GB2312" w:cs="仿宋_GB2312"/>
                <w:b/>
                <w:sz w:val="24"/>
                <w:szCs w:val="21"/>
              </w:rPr>
            </w:pP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pPr>
              <w:widowControl/>
              <w:jc w:val="left"/>
              <w:rPr>
                <w:rFonts w:ascii="Times New Roman" w:hAnsi="Times New Roman" w:eastAsia="仿宋_GB2312" w:cs="仿宋_GB2312"/>
                <w:b/>
                <w:sz w:val="24"/>
                <w:szCs w:val="21"/>
              </w:rPr>
            </w:pPr>
          </w:p>
        </w:tc>
        <w:tc>
          <w:tcPr>
            <w:tcW w:w="3450" w:type="dxa"/>
            <w:vMerge w:val="continue"/>
            <w:noWrap w:val="0"/>
            <w:vAlign w:val="top"/>
          </w:tcPr>
          <w:p>
            <w:pPr>
              <w:widowControl/>
              <w:jc w:val="left"/>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3</w:t>
            </w:r>
          </w:p>
        </w:tc>
        <w:tc>
          <w:tcPr>
            <w:tcW w:w="4388" w:type="dxa"/>
            <w:noWrap w:val="0"/>
            <w:vAlign w:val="top"/>
          </w:tcPr>
          <w:p>
            <w:pPr>
              <w:widowControl/>
              <w:rPr>
                <w:rFonts w:ascii="Times New Roman" w:hAnsi="Times New Roman" w:eastAsia="仿宋_GB2312" w:cs="仿宋_GB2312"/>
                <w:sz w:val="24"/>
                <w:szCs w:val="21"/>
              </w:rPr>
            </w:pPr>
            <w:r>
              <w:rPr>
                <w:rFonts w:hint="eastAsia" w:ascii="Times New Roman" w:hAnsi="Times New Roman" w:eastAsia="仿宋_GB2312" w:cs="仿宋_GB2312"/>
                <w:sz w:val="24"/>
                <w:szCs w:val="21"/>
              </w:rPr>
              <w:t>水消耗总量</w:t>
            </w:r>
          </w:p>
        </w:tc>
        <w:tc>
          <w:tcPr>
            <w:tcW w:w="1335" w:type="dxa"/>
            <w:noWrap w:val="0"/>
            <w:vAlign w:val="top"/>
          </w:tcPr>
          <w:p>
            <w:pPr>
              <w:widowControl/>
              <w:jc w:val="left"/>
              <w:rPr>
                <w:rFonts w:ascii="Times New Roman" w:hAnsi="Times New Roman" w:eastAsia="仿宋_GB2312" w:cs="仿宋_GB2312"/>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sz w:val="24"/>
                <w:szCs w:val="21"/>
              </w:rPr>
            </w:pPr>
          </w:p>
        </w:tc>
        <w:tc>
          <w:tcPr>
            <w:tcW w:w="2099" w:type="dxa"/>
            <w:noWrap w:val="0"/>
            <w:vAlign w:val="top"/>
          </w:tcPr>
          <w:p>
            <w:pPr>
              <w:widowControl/>
              <w:jc w:val="center"/>
              <w:rPr>
                <w:rFonts w:ascii="Times New Roman" w:hAnsi="Times New Roman" w:eastAsia="仿宋_GB2312" w:cs="仿宋_GB2312"/>
                <w:sz w:val="24"/>
                <w:szCs w:val="21"/>
              </w:rPr>
            </w:pPr>
          </w:p>
        </w:tc>
        <w:tc>
          <w:tcPr>
            <w:tcW w:w="3450" w:type="dxa"/>
            <w:noWrap w:val="0"/>
            <w:vAlign w:val="top"/>
          </w:tcPr>
          <w:p>
            <w:pPr>
              <w:widowControl/>
              <w:jc w:val="left"/>
              <w:rPr>
                <w:rFonts w:ascii="Times New Roman" w:hAnsi="Times New Roman"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4</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立方米</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5</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6</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7</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8</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8.2</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9</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top"/>
          </w:tcPr>
          <w:p>
            <w:pPr>
              <w:widowControl/>
              <w:jc w:val="left"/>
              <w:rPr>
                <w:rFonts w:ascii="Times New Roman" w:hAnsi="Times New Roman" w:eastAsia="仿宋_GB2312" w:cs="仿宋_GB2312"/>
                <w:b/>
                <w:sz w:val="24"/>
                <w:szCs w:val="21"/>
              </w:rPr>
            </w:pP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10</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bl>
    <w:p>
      <w:pPr>
        <w:spacing w:line="240" w:lineRule="atLeast"/>
        <w:rPr>
          <w:rFonts w:hint="default" w:ascii="Times New Roman" w:hAnsi="Times New Roman" w:eastAsia="仿宋"/>
          <w:lang w:val="en-US" w:eastAsia="zh-CN"/>
        </w:rPr>
      </w:pPr>
      <w:r>
        <w:rPr>
          <w:rFonts w:ascii="Times New Roman" w:hAnsi="Times New Roman" w:eastAsia="仿宋"/>
        </w:rPr>
        <w:t>注：1.说明能效对标所参照的能耗限额标准和能源系统边界。2.上一年度有大修、非正常停机等情况应注明</w:t>
      </w:r>
      <w:r>
        <w:rPr>
          <w:rFonts w:hint="eastAsia" w:ascii="Times New Roman" w:hAnsi="Times New Roman" w:eastAsia="仿宋"/>
        </w:rPr>
        <w:t>。3.能源消耗根据企业生产情况添加或删减。</w:t>
      </w:r>
    </w:p>
    <w:p>
      <w:pPr>
        <w:tabs>
          <w:tab w:val="left" w:pos="4962"/>
        </w:tabs>
        <w:jc w:val="center"/>
        <w:rPr>
          <w:rFonts w:hint="default" w:ascii="方正小标宋简体" w:hAnsi="方正小标宋简体" w:eastAsia="方正小标宋简体" w:cs="方正小标宋简体"/>
          <w:b w:val="0"/>
          <w:bCs/>
          <w:sz w:val="36"/>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97" w:name="_Toc27150"/>
      <w:bookmarkStart w:id="98" w:name="_Toc5202"/>
      <w:bookmarkStart w:id="99" w:name="_Toc23111"/>
      <w:r>
        <w:rPr>
          <w:rFonts w:hint="eastAsia" w:ascii="Times New Roman" w:hAnsi="Times New Roman" w:eastAsia="黑体" w:cs="Times New Roman"/>
          <w:bCs/>
          <w:color w:val="000000"/>
          <w:sz w:val="32"/>
          <w:szCs w:val="21"/>
          <w:lang w:val="en-US" w:eastAsia="zh-CN"/>
        </w:rPr>
        <w:t>附表17</w:t>
      </w:r>
      <w:bookmarkEnd w:id="97"/>
      <w:bookmarkEnd w:id="98"/>
      <w:bookmarkEnd w:id="9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聚氯乙烯</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单位产品综合能耗量（千克标准煤/吨聚氯乙烯）</w:t>
            </w:r>
          </w:p>
        </w:tc>
        <w:tc>
          <w:tcPr>
            <w:tcW w:w="140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单位产品电石消耗量（吨/吨聚氯乙烯）</w:t>
            </w:r>
          </w:p>
        </w:tc>
        <w:tc>
          <w:tcPr>
            <w:tcW w:w="140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宋体"/>
                <w:sz w:val="24"/>
                <w:szCs w:val="24"/>
                <w:lang w:val="en-US" w:eastAsia="zh-CN" w:bidi="ar"/>
              </w:rPr>
              <w:t>以电石为原料的悬浮法聚氯乙烯</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head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Cs/>
          <w:color w:val="000000"/>
          <w:sz w:val="32"/>
          <w:szCs w:val="21"/>
          <w:lang w:val="en-US" w:eastAsia="zh-CN"/>
        </w:rPr>
      </w:pPr>
      <w:bookmarkStart w:id="100" w:name="_Toc9013"/>
      <w:bookmarkStart w:id="101" w:name="_Toc30803"/>
      <w:bookmarkStart w:id="102" w:name="_Toc16792"/>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18</w:t>
      </w:r>
      <w:bookmarkEnd w:id="100"/>
      <w:bookmarkEnd w:id="101"/>
      <w:bookmarkEnd w:id="102"/>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精对苯二甲酸行业能源使用情况详表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03" w:name="_Toc2298"/>
      <w:bookmarkStart w:id="104" w:name="_Toc25050"/>
      <w:bookmarkStart w:id="105" w:name="_Toc11137"/>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19</w:t>
      </w:r>
      <w:bookmarkEnd w:id="103"/>
      <w:bookmarkEnd w:id="104"/>
      <w:bookmarkEnd w:id="10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子午线</w:t>
      </w:r>
      <w:r>
        <w:rPr>
          <w:rFonts w:hint="eastAsia" w:ascii="方正小标宋简体" w:hAnsi="方正小标宋简体" w:eastAsia="方正小标宋简体" w:cs="方正小标宋简体"/>
          <w:bCs/>
          <w:sz w:val="36"/>
        </w:rPr>
        <w:t>轮胎行业能源使用情况详表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839"/>
        <w:gridCol w:w="1048"/>
        <w:gridCol w:w="1360"/>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pgSz w:w="11906" w:h="16838"/>
          <w:pgMar w:top="1440" w:right="1800" w:bottom="1440" w:left="1800" w:header="851" w:footer="992" w:gutter="0"/>
          <w:pgNumType w:fmt="decimal"/>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企业其他主要用电设备表</w:t>
      </w:r>
    </w:p>
    <w:tbl>
      <w:tblPr>
        <w:tblStyle w:val="16"/>
        <w:tblW w:w="0" w:type="auto"/>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安装地点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用能种类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16"/>
        <w:tblW w:w="0" w:type="auto"/>
        <w:tblInd w:w="0" w:type="dxa"/>
        <w:tblLayout w:type="fixed"/>
        <w:tblCellMar>
          <w:top w:w="0" w:type="dxa"/>
          <w:left w:w="108" w:type="dxa"/>
          <w:bottom w:w="0" w:type="dxa"/>
          <w:right w:w="108" w:type="dxa"/>
        </w:tblCellMar>
      </w:tblPr>
      <w:tblGrid>
        <w:gridCol w:w="954"/>
        <w:gridCol w:w="2987"/>
        <w:gridCol w:w="1187"/>
        <w:gridCol w:w="1016"/>
        <w:gridCol w:w="1252"/>
        <w:gridCol w:w="1585"/>
        <w:gridCol w:w="4548"/>
      </w:tblGrid>
      <w:tr>
        <w:tblPrEx>
          <w:tblCellMar>
            <w:top w:w="0" w:type="dxa"/>
            <w:left w:w="108" w:type="dxa"/>
            <w:bottom w:w="0" w:type="dxa"/>
            <w:right w:w="108" w:type="dxa"/>
          </w:tblCellMar>
        </w:tblPrEx>
        <w:trPr>
          <w:trHeight w:val="28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9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CellMar>
            <w:top w:w="0" w:type="dxa"/>
            <w:left w:w="108" w:type="dxa"/>
            <w:bottom w:w="0" w:type="dxa"/>
            <w:right w:w="108" w:type="dxa"/>
          </w:tblCellMar>
        </w:tblPrEx>
        <w:trPr>
          <w:trHeight w:val="301"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9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548"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0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252"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548"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34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44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187"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6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64"/>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39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6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64"/>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pgNumType w:fmt="decimal"/>
          <w:cols w:space="720" w:num="1"/>
          <w:docGrid w:type="linesAndChars" w:linePitch="312" w:charSpace="0"/>
        </w:sectPr>
      </w:pPr>
    </w:p>
    <w:p>
      <w:pPr>
        <w:widowControl/>
        <w:jc w:val="left"/>
        <w:outlineLvl w:val="0"/>
        <w:rPr>
          <w:rFonts w:hint="default" w:ascii="Times New Roman" w:hAnsi="Times New Roman" w:eastAsia="黑体" w:cs="Times New Roman"/>
          <w:b/>
          <w:color w:val="000000"/>
          <w:sz w:val="36"/>
          <w:lang w:val="en-US" w:eastAsia="zh-CN"/>
        </w:rPr>
      </w:pPr>
      <w:bookmarkStart w:id="106" w:name="_Toc9477"/>
      <w:bookmarkStart w:id="107" w:name="_Toc18773"/>
      <w:bookmarkStart w:id="108" w:name="_Toc2036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20</w:t>
      </w:r>
      <w:bookmarkEnd w:id="106"/>
      <w:bookmarkEnd w:id="107"/>
      <w:bookmarkEnd w:id="108"/>
    </w:p>
    <w:p>
      <w:pPr>
        <w:tabs>
          <w:tab w:val="left" w:pos="4962"/>
        </w:tabs>
        <w:spacing w:line="600" w:lineRule="exact"/>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钢铁行业能源使用情况详表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10" w:type="default"/>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09" w:name="_Toc2798"/>
      <w:bookmarkStart w:id="110" w:name="_Toc4528"/>
      <w:bookmarkStart w:id="111" w:name="_Toc3168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21</w:t>
      </w:r>
      <w:bookmarkEnd w:id="109"/>
      <w:bookmarkEnd w:id="110"/>
      <w:bookmarkEnd w:id="111"/>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铁合金</w:t>
      </w:r>
      <w:r>
        <w:rPr>
          <w:rFonts w:hint="eastAsia" w:ascii="方正小标宋简体" w:hAnsi="方正小标宋简体" w:eastAsia="方正小标宋简体" w:cs="方正小标宋简体"/>
          <w:bCs/>
          <w:color w:val="000000"/>
          <w:sz w:val="36"/>
          <w:lang w:val="en-US" w:eastAsia="zh-CN"/>
        </w:rPr>
        <w:t>冶炼</w:t>
      </w:r>
      <w:r>
        <w:rPr>
          <w:rFonts w:hint="eastAsia" w:ascii="方正小标宋简体" w:hAnsi="方正小标宋简体" w:eastAsia="方正小标宋简体" w:cs="方正小标宋简体"/>
          <w:bCs/>
          <w:color w:val="000000"/>
          <w:sz w:val="36"/>
        </w:rPr>
        <w:t>行业能源使用情况详表</w:t>
      </w: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 铁合金企业其他主要用电设备表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val="0"/>
          <w:color w:val="000000"/>
          <w:sz w:val="32"/>
          <w:szCs w:val="21"/>
          <w:lang w:val="en-US" w:eastAsia="zh-CN"/>
        </w:rPr>
      </w:pPr>
      <w:bookmarkStart w:id="112" w:name="_Toc29013"/>
      <w:bookmarkStart w:id="113" w:name="_Toc12974"/>
      <w:bookmarkStart w:id="114" w:name="_Toc20727"/>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22</w:t>
      </w:r>
      <w:bookmarkEnd w:id="112"/>
      <w:bookmarkEnd w:id="113"/>
      <w:bookmarkEnd w:id="11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115" w:name="_Toc19423"/>
      <w:bookmarkStart w:id="116" w:name="_Toc1849"/>
      <w:bookmarkStart w:id="117" w:name="_Toc2700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23</w:t>
      </w:r>
      <w:bookmarkEnd w:id="115"/>
      <w:bookmarkEnd w:id="116"/>
      <w:bookmarkEnd w:id="11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18" w:name="_Toc5091"/>
      <w:bookmarkStart w:id="119" w:name="_Toc19000"/>
      <w:bookmarkStart w:id="120" w:name="_Toc1933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24</w:t>
      </w:r>
      <w:bookmarkEnd w:id="118"/>
      <w:bookmarkEnd w:id="119"/>
      <w:bookmarkEnd w:id="12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21" w:name="_Toc10451"/>
      <w:bookmarkStart w:id="122" w:name="_Toc1646"/>
      <w:bookmarkStart w:id="123" w:name="_Toc4971"/>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25</w:t>
      </w:r>
      <w:bookmarkEnd w:id="121"/>
      <w:bookmarkEnd w:id="122"/>
      <w:bookmarkEnd w:id="12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15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66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64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bookmarkStart w:id="124" w:name="_Toc7551"/>
      <w:bookmarkStart w:id="125" w:name="_Toc24750"/>
      <w:bookmarkStart w:id="126" w:name="_Toc5416"/>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26</w:t>
      </w:r>
      <w:bookmarkEnd w:id="124"/>
      <w:bookmarkEnd w:id="125"/>
      <w:bookmarkEnd w:id="126"/>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12"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27" w:name="_Toc8192"/>
      <w:bookmarkStart w:id="128" w:name="_Toc30132"/>
      <w:bookmarkStart w:id="129" w:name="_Toc1708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27</w:t>
      </w:r>
      <w:bookmarkEnd w:id="127"/>
      <w:bookmarkEnd w:id="128"/>
      <w:bookmarkEnd w:id="12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工业硅</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4"/>
        <w:gridCol w:w="936"/>
        <w:gridCol w:w="1241"/>
        <w:gridCol w:w="1243"/>
        <w:gridCol w:w="203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615"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lang w:val="en-US" w:eastAsia="zh-CN"/>
        </w:rPr>
        <w:t>工业硅</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表3 </w:t>
      </w:r>
      <w:r>
        <w:rPr>
          <w:rFonts w:hint="eastAsia" w:ascii="Times New Roman" w:hAnsi="Times New Roman" w:eastAsia="仿宋_GB2312" w:cs="Times New Roman"/>
          <w:color w:val="000000"/>
          <w:sz w:val="32"/>
          <w:szCs w:val="32"/>
          <w:lang w:val="en-US" w:eastAsia="zh-CN"/>
        </w:rPr>
        <w:t>工业硅</w:t>
      </w:r>
      <w:r>
        <w:rPr>
          <w:rFonts w:hint="default" w:ascii="Times New Roman" w:hAnsi="Times New Roman" w:eastAsia="仿宋_GB2312" w:cs="Times New Roman"/>
          <w:color w:val="000000"/>
          <w:sz w:val="32"/>
          <w:szCs w:val="32"/>
        </w:rPr>
        <w:t>企业其他主要用电设备表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931"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eastAsia" w:ascii="Times New Roman" w:hAnsi="Times New Roman" w:eastAsia="仿宋_GB2312" w:cs="Times New Roman"/>
          <w:sz w:val="32"/>
          <w:szCs w:val="32"/>
          <w:lang w:val="en-US" w:eastAsia="zh-CN"/>
        </w:rPr>
        <w:t>工业硅</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ind w:firstLine="960" w:firstLineChars="40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9</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ascii="Times New Roman" w:hAnsi="Times New Roman"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0" w:name="_Toc6228"/>
      <w:bookmarkStart w:id="131" w:name="_Toc18348"/>
      <w:bookmarkStart w:id="132" w:name="_Toc945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28</w:t>
      </w:r>
      <w:bookmarkEnd w:id="130"/>
      <w:bookmarkEnd w:id="131"/>
      <w:bookmarkEnd w:id="13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节能效果</w:t>
            </w:r>
          </w:p>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 xml:space="preserve">表3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16"/>
        <w:tblW w:w="0" w:type="auto"/>
        <w:jc w:val="center"/>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年份</w:t>
            </w:r>
          </w:p>
        </w:tc>
        <w:tc>
          <w:tcPr>
            <w:tcW w:w="78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原煤热值年均值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78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21</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22</w:t>
            </w:r>
          </w:p>
        </w:tc>
        <w:tc>
          <w:tcPr>
            <w:tcW w:w="78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 xml:space="preserve">表4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16"/>
        <w:tblW w:w="0" w:type="auto"/>
        <w:jc w:val="center"/>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 w:cs="Times New Roman"/>
                <w:i w:val="0"/>
                <w:color w:val="000000"/>
                <w:sz w:val="24"/>
                <w:szCs w:val="16"/>
                <w:u w:val="none"/>
              </w:rPr>
            </w:pPr>
            <w:r>
              <w:rPr>
                <w:rFonts w:hint="default" w:ascii="Times New Roman" w:hAnsi="Times New Roman" w:eastAsia="仿宋" w:cs="Times New Roman"/>
                <w:i w:val="0"/>
                <w:color w:val="000000"/>
                <w:kern w:val="0"/>
                <w:sz w:val="22"/>
                <w:szCs w:val="15"/>
                <w:u w:val="none"/>
                <w:lang w:val="en-US" w:eastAsia="zh-CN" w:bidi="ar"/>
              </w:rPr>
              <w:t>说明：消耗均折算为吨精镁的消耗；</w:t>
            </w:r>
            <w:r>
              <w:rPr>
                <w:rFonts w:hint="default" w:ascii="Times New Roman" w:hAnsi="Times New Roman" w:eastAsia="仿宋" w:cs="Times New Roman"/>
                <w:i w:val="0"/>
                <w:color w:val="000000"/>
                <w:kern w:val="0"/>
                <w:sz w:val="22"/>
                <w:szCs w:val="15"/>
                <w:u w:val="none"/>
                <w:lang w:val="en-US" w:eastAsia="zh-CN" w:bidi="ar"/>
              </w:rPr>
              <w:br w:type="textWrapping"/>
            </w:r>
            <w:r>
              <w:rPr>
                <w:rFonts w:hint="default" w:ascii="Times New Roman" w:hAnsi="Times New Roman" w:eastAsia="仿宋" w:cs="Times New Roman"/>
                <w:i w:val="0"/>
                <w:color w:val="000000"/>
                <w:kern w:val="0"/>
                <w:sz w:val="22"/>
                <w:szCs w:val="15"/>
                <w:u w:val="none"/>
                <w:lang w:val="en-US" w:eastAsia="zh-CN" w:bidi="ar"/>
              </w:rPr>
              <w:t>原料煤消耗=采购入厂数量-外销沫煤数量；煤气热值6.3 MJ/m</w:t>
            </w:r>
            <w:r>
              <w:rPr>
                <w:rStyle w:val="31"/>
                <w:rFonts w:hint="default" w:ascii="Times New Roman" w:hAnsi="Times New Roman" w:eastAsia="仿宋" w:cs="Times New Roman"/>
                <w:sz w:val="22"/>
                <w:szCs w:val="15"/>
                <w:lang w:val="en-US" w:eastAsia="zh-CN" w:bidi="ar"/>
              </w:rPr>
              <w:t>3</w:t>
            </w:r>
            <w:r>
              <w:rPr>
                <w:rStyle w:val="43"/>
                <w:rFonts w:hint="default" w:ascii="Times New Roman" w:hAnsi="Times New Roman" w:eastAsia="仿宋"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备注</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环保设备耗能量</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tce/t</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煤</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气</w:t>
            </w:r>
            <w:r>
              <w:rPr>
                <w:rFonts w:hint="default" w:ascii="Times New Roman" w:hAnsi="Times New Roman" w:eastAsia="仿宋" w:cs="Times New Roman"/>
                <w:i w:val="0"/>
                <w:color w:val="000000"/>
                <w:kern w:val="0"/>
                <w:sz w:val="24"/>
                <w:szCs w:val="20"/>
                <w:u w:val="none"/>
                <w:lang w:val="en-US" w:eastAsia="zh-CN" w:bidi="ar"/>
              </w:rPr>
              <w:br w:type="textWrapping"/>
            </w:r>
            <w:r>
              <w:rPr>
                <w:rFonts w:hint="default" w:ascii="Times New Roman" w:hAnsi="Times New Roman" w:eastAsia="仿宋" w:cs="Times New Roman"/>
                <w:i w:val="0"/>
                <w:color w:val="000000"/>
                <w:kern w:val="0"/>
                <w:sz w:val="24"/>
                <w:szCs w:val="20"/>
                <w:u w:val="none"/>
                <w:lang w:val="en-US" w:eastAsia="zh-CN" w:bidi="ar"/>
              </w:rPr>
              <w:t>m</w:t>
            </w:r>
            <w:r>
              <w:rPr>
                <w:rStyle w:val="42"/>
                <w:rFonts w:hint="default" w:ascii="Times New Roman" w:hAnsi="Times New Roman" w:eastAsia="仿宋" w:cs="Times New Roman"/>
                <w:sz w:val="24"/>
                <w:lang w:val="en-US" w:eastAsia="zh-CN" w:bidi="ar"/>
              </w:rPr>
              <w:t>3</w:t>
            </w:r>
            <w:r>
              <w:rPr>
                <w:rStyle w:val="41"/>
                <w:rFonts w:hint="default" w:ascii="Times New Roman" w:hAnsi="Times New Roman" w:eastAsia="仿宋"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电</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kw</w:t>
            </w:r>
            <w:r>
              <w:rPr>
                <w:rStyle w:val="28"/>
                <w:rFonts w:ascii="Times New Roman" w:hAnsi="Times New Roman" w:eastAsia="仿宋" w:cs="Times New Roman"/>
                <w:sz w:val="24"/>
                <w:lang w:val="en-US" w:eastAsia="zh-CN" w:bidi="ar"/>
              </w:rPr>
              <w:t>▪</w:t>
            </w:r>
            <w:r>
              <w:rPr>
                <w:rStyle w:val="26"/>
                <w:rFonts w:ascii="Times New Roman" w:hAnsi="Times New Roman" w:eastAsia="仿宋"/>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柴油</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焦粉</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焦油</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沫煤</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eastAsia" w:ascii="Times New Roman" w:hAnsi="Times New Roman" w:eastAsia="仿宋" w:cs="Times New Roman"/>
                <w:i w:val="0"/>
                <w:color w:val="000000"/>
                <w:kern w:val="0"/>
                <w:sz w:val="24"/>
                <w:szCs w:val="20"/>
                <w:u w:val="none"/>
                <w:lang w:val="en-US" w:eastAsia="zh-CN" w:bidi="ar"/>
              </w:rPr>
              <w:t>2022</w:t>
            </w:r>
            <w:r>
              <w:rPr>
                <w:rStyle w:val="41"/>
                <w:rFonts w:hint="default" w:ascii="Times New Roman" w:hAnsi="Times New Roman" w:eastAsia="仿宋"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直接能源</w:t>
            </w:r>
            <w:r>
              <w:rPr>
                <w:rStyle w:val="41"/>
                <w:rFonts w:hint="default" w:ascii="Times New Roman" w:hAnsi="Times New Roman" w:eastAsia="仿宋" w:cs="Times New Roman"/>
                <w:sz w:val="24"/>
                <w:lang w:val="en-US" w:eastAsia="zh-CN" w:bidi="ar"/>
              </w:rPr>
              <w:br w:type="textWrapping"/>
            </w:r>
            <w:r>
              <w:rPr>
                <w:rStyle w:val="41"/>
                <w:rFonts w:hint="default" w:ascii="Times New Roman" w:hAnsi="Times New Roman" w:eastAsia="仿宋"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i w:val="0"/>
                <w:color w:val="000000"/>
                <w:sz w:val="24"/>
                <w:szCs w:val="20"/>
                <w:u w:val="none"/>
              </w:rPr>
            </w:pPr>
            <w:r>
              <w:rPr>
                <w:rFonts w:hint="default" w:ascii="Times New Roman" w:hAnsi="Times New Roman" w:eastAsia="仿宋"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间接能源消耗</w:t>
            </w:r>
            <w:r>
              <w:rPr>
                <w:rStyle w:val="26"/>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外销能源</w:t>
            </w:r>
            <w:r>
              <w:rPr>
                <w:rStyle w:val="26"/>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综合能源折标煤</w:t>
            </w:r>
            <w:r>
              <w:rPr>
                <w:rStyle w:val="26"/>
                <w:rFonts w:ascii="Times New Roman" w:hAnsi="Times New Roman" w:eastAsia="仿宋"/>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bl>
    <w:p>
      <w:pPr>
        <w:bidi w:val="0"/>
        <w:rPr>
          <w:rFonts w:hint="default" w:ascii="Times New Roman" w:hAnsi="Times New Roman" w:eastAsia="仿宋_GB2312"/>
          <w:sz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cs="Times New Roman"/>
          <w:b w:val="0"/>
          <w:bCs/>
          <w:color w:val="000000"/>
          <w:sz w:val="32"/>
          <w:szCs w:val="21"/>
          <w:lang w:val="en-US"/>
        </w:rPr>
      </w:pPr>
      <w:bookmarkStart w:id="133" w:name="_Toc20210"/>
      <w:bookmarkStart w:id="134" w:name="_Toc1253"/>
      <w:bookmarkStart w:id="135" w:name="_Toc535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29</w:t>
      </w:r>
      <w:bookmarkEnd w:id="133"/>
      <w:bookmarkEnd w:id="134"/>
      <w:bookmarkEnd w:id="135"/>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水泥行业能源使用情况详表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w:t>
      </w:r>
      <w:r>
        <w:rPr>
          <w:rFonts w:ascii="Times New Roman" w:hAnsi="Times New Roman" w:eastAsia="仿宋_GB2312" w:cs="Times New Roman"/>
        </w:rPr>
        <w:tab/>
      </w:r>
      <w:r>
        <w:rPr>
          <w:rFonts w:ascii="Times New Roman" w:hAnsi="Times New Roman" w:eastAsia="仿宋_GB2312" w:cs="Times New Roman"/>
        </w:rPr>
        <w:t>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6" w:name="_Toc28850"/>
      <w:bookmarkStart w:id="137" w:name="_Toc15045"/>
      <w:bookmarkStart w:id="138" w:name="_Toc32592"/>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30</w:t>
      </w:r>
      <w:bookmarkEnd w:id="136"/>
      <w:bookmarkEnd w:id="137"/>
      <w:bookmarkEnd w:id="13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黑体" w:cs="Times New Roman"/>
          <w:b w:val="0"/>
          <w:bCs/>
          <w:color w:val="000000"/>
          <w:sz w:val="32"/>
          <w:szCs w:val="21"/>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Calibri" w:hAnsi="Calibri"/>
          <w:kern w:val="2"/>
          <w:sz w:val="21"/>
          <w:szCs w:val="22"/>
          <w:lang w:val="en-US" w:eastAsia="zh-CN" w:bidi="ar-SA"/>
        </w:rPr>
      </w:pPr>
    </w:p>
    <w:p>
      <w:pPr>
        <w:widowControl/>
        <w:jc w:val="left"/>
        <w:outlineLvl w:val="0"/>
        <w:rPr>
          <w:rFonts w:ascii="Times New Roman" w:hAnsi="Times New Roman" w:cs="Times New Roman"/>
        </w:rPr>
        <w:sectPr>
          <w:pgSz w:w="16838" w:h="11906" w:orient="landscape"/>
          <w:pgMar w:top="1803" w:right="1440" w:bottom="1803" w:left="1440" w:header="851" w:footer="992" w:gutter="0"/>
          <w:paperSrc/>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39" w:name="_Toc3434"/>
      <w:bookmarkStart w:id="140" w:name="_Toc31444"/>
      <w:bookmarkStart w:id="141" w:name="_Toc22374"/>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31</w:t>
      </w:r>
      <w:bookmarkEnd w:id="139"/>
      <w:bookmarkEnd w:id="140"/>
      <w:bookmarkEnd w:id="141"/>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建筑陶瓷行业能源使用情况详表</w:t>
      </w:r>
    </w:p>
    <w:p>
      <w:pPr>
        <w:spacing w:line="600" w:lineRule="exact"/>
        <w:jc w:val="center"/>
        <w:rPr>
          <w:rFonts w:ascii="仿宋" w:hAnsi="仿宋" w:eastAsia="仿宋"/>
          <w:sz w:val="32"/>
          <w:szCs w:val="32"/>
        </w:rPr>
      </w:pPr>
      <w:r>
        <w:rPr>
          <w:rFonts w:ascii="Times New Roman" w:hAnsi="Times New Roman" w:eastAsia="仿宋_GB2312"/>
          <w:sz w:val="32"/>
          <w:szCs w:val="32"/>
        </w:rPr>
        <w:t>表1</w:t>
      </w:r>
      <w:r>
        <w:rPr>
          <w:rFonts w:hint="eastAsia" w:ascii="仿宋" w:hAnsi="仿宋" w:eastAsia="仿宋"/>
          <w:sz w:val="32"/>
          <w:szCs w:val="32"/>
        </w:rPr>
        <w:t>建筑陶瓷</w:t>
      </w:r>
      <w:r>
        <w:rPr>
          <w:rFonts w:ascii="仿宋" w:hAnsi="仿宋" w:eastAsia="仿宋"/>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单位产品综合能耗（千克标准煤/重</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7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sz w:val="24"/>
                <w:szCs w:val="24"/>
              </w:rPr>
              <w:t>粉料生产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色釉料</w:t>
            </w:r>
            <w:r>
              <w:rPr>
                <w:rFonts w:hint="eastAsia" w:ascii="Times New Roman" w:hAnsi="Times New Roman" w:eastAsia="仿宋_GB2312"/>
                <w:sz w:val="24"/>
                <w:szCs w:val="24"/>
              </w:rPr>
              <w:t>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干燥</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施釉及装饰</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抛光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拣选包装</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2" w:name="_Toc8724"/>
      <w:bookmarkStart w:id="143" w:name="_Toc30536"/>
      <w:bookmarkStart w:id="144" w:name="_Toc1153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32</w:t>
      </w:r>
      <w:bookmarkEnd w:id="142"/>
      <w:bookmarkEnd w:id="143"/>
      <w:bookmarkEnd w:id="144"/>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卫生陶瓷行业能源使用情况详表</w:t>
      </w:r>
    </w:p>
    <w:p>
      <w:pPr>
        <w:spacing w:line="600" w:lineRule="exact"/>
        <w:jc w:val="center"/>
        <w:rPr>
          <w:rFonts w:hint="eastAsia" w:ascii="仿宋_GB2312" w:hAnsi="Times New Roman" w:eastAsia="仿宋_GB2312"/>
          <w:sz w:val="32"/>
          <w:szCs w:val="32"/>
        </w:rPr>
      </w:pPr>
      <w:r>
        <w:rPr>
          <w:rFonts w:ascii="Times New Roman" w:hAnsi="Times New Roman" w:eastAsia="仿宋_GB2312"/>
          <w:sz w:val="32"/>
          <w:szCs w:val="32"/>
        </w:rPr>
        <w:t>表1</w:t>
      </w:r>
      <w:r>
        <w:rPr>
          <w:rFonts w:hint="eastAsia" w:ascii="仿宋" w:hAnsi="仿宋" w:eastAsia="仿宋"/>
          <w:sz w:val="32"/>
          <w:szCs w:val="32"/>
        </w:rPr>
        <w:t>卫生陶瓷企业主要生产线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宋体" w:hAnsi="宋体" w:cs="宋体"/>
                <w:sz w:val="24"/>
                <w:szCs w:val="21"/>
              </w:rPr>
              <w:t>件</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宋体" w:hAnsi="宋体" w:cs="宋体"/>
                <w:sz w:val="24"/>
                <w:szCs w:val="21"/>
              </w:rPr>
              <w:t>件</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宋体" w:hAnsi="宋体" w:cs="宋体"/>
                <w:sz w:val="24"/>
                <w:szCs w:val="21"/>
              </w:rPr>
              <w:t>件</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1179"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原料制浆</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半成品成形</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烘干</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模型制备</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空压机</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5" w:name="_Toc26572"/>
      <w:bookmarkStart w:id="146" w:name="_Toc27027"/>
      <w:bookmarkStart w:id="147" w:name="_Toc36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33</w:t>
      </w:r>
      <w:bookmarkEnd w:id="145"/>
      <w:bookmarkEnd w:id="146"/>
      <w:bookmarkEnd w:id="14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卫生纸原纸、纸巾原纸行业能源使用情况详表</w: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卫生纸原纸、纸巾原纸</w:t>
      </w:r>
      <w:r>
        <w:rPr>
          <w:rFonts w:ascii="Times New Roman" w:hAnsi="Times New Roman" w:eastAsia="仿宋_GB2312"/>
          <w:sz w:val="32"/>
          <w:szCs w:val="32"/>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headerReference r:id="rId13"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w:t>
            </w:r>
            <w:r>
              <w:rPr>
                <w:rFonts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left"/>
              <w:rPr>
                <w:rFonts w:ascii="Times New Roman" w:hAnsi="Times New Roman" w:eastAsia="仿宋_GB2312"/>
                <w:sz w:val="24"/>
                <w:szCs w:val="28"/>
              </w:rPr>
            </w:pPr>
          </w:p>
        </w:tc>
        <w:tc>
          <w:tcPr>
            <w:tcW w:w="1904" w:type="dxa"/>
            <w:noWrap w:val="0"/>
            <w:vAlign w:val="center"/>
          </w:tcPr>
          <w:p>
            <w:pPr>
              <w:widowControl/>
              <w:adjustRightInd w:val="0"/>
              <w:snapToGrid w:val="0"/>
              <w:jc w:val="left"/>
              <w:rPr>
                <w:rFonts w:ascii="Times New Roman" w:hAnsi="Times New Roman" w:eastAsia="仿宋_GB2312"/>
                <w:sz w:val="24"/>
                <w:szCs w:val="28"/>
              </w:rPr>
            </w:pPr>
          </w:p>
        </w:tc>
        <w:tc>
          <w:tcPr>
            <w:tcW w:w="2790" w:type="dxa"/>
            <w:noWrap w:val="0"/>
            <w:vAlign w:val="center"/>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pPr>
        <w:rPr>
          <w:rFonts w:ascii="Times New Roman" w:hAnsi="Times New Roman" w:eastAsia="仿宋_GB2312"/>
        </w:rPr>
      </w:pPr>
      <w:r>
        <w:rPr>
          <w:rFonts w:ascii="Times New Roman" w:hAnsi="Times New Roman" w:eastAsia="仿宋_GB2312"/>
          <w:b/>
          <w:bCs/>
        </w:rPr>
        <w:t>注：</w:t>
      </w:r>
      <w:r>
        <w:rPr>
          <w:rFonts w:ascii="Times New Roman" w:hAnsi="Times New Roman" w:eastAsia="仿宋_GB2312"/>
        </w:rPr>
        <w:t>1.说明能效对标所参照的能耗限额标准和能源系统边界。2.上一年度有大修、非正常停机等情况应注明。</w:t>
      </w:r>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48" w:name="_Toc21678"/>
      <w:bookmarkStart w:id="149" w:name="_Toc341"/>
      <w:bookmarkStart w:id="150" w:name="_Toc31507"/>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34</w:t>
      </w:r>
      <w:bookmarkEnd w:id="148"/>
      <w:bookmarkEnd w:id="149"/>
      <w:bookmarkEnd w:id="150"/>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棉、化纤及混纺机织</w:t>
      </w:r>
      <w:r>
        <w:rPr>
          <w:rFonts w:hint="eastAsia" w:ascii="方正小标宋简体" w:hAnsi="方正小标宋简体" w:eastAsia="方正小标宋简体" w:cs="方正小标宋简体"/>
          <w:bCs/>
          <w:sz w:val="36"/>
          <w:lang w:val="en-US" w:eastAsia="zh-CN"/>
        </w:rPr>
        <w:t>物</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棉、化纤及混纺机织</w:t>
      </w:r>
      <w:r>
        <w:rPr>
          <w:rFonts w:hint="eastAsia"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ascii="Times New Roman" w:hAnsi="Times New Roman" w:eastAsia="仿宋"/>
          <w:sz w:val="28"/>
          <w:szCs w:val="28"/>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机织物标准品为棉染色合格产品，布幅宽152cm、布重10-14kg/100m ，当产品不同时，可按标准进行换算。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1" w:name="_Toc21292"/>
      <w:bookmarkStart w:id="152" w:name="_Toc20149"/>
      <w:bookmarkStart w:id="153" w:name="_Toc2852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35</w:t>
      </w:r>
      <w:bookmarkEnd w:id="151"/>
      <w:bookmarkEnd w:id="152"/>
      <w:bookmarkEnd w:id="15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针织物、纱线</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hint="default" w:ascii="Times New Roman" w:hAnsi="Times New Roman" w:eastAsia="仿宋"/>
          <w:sz w:val="21"/>
          <w:szCs w:val="21"/>
          <w:lang w:val="en-US" w:eastAsia="zh-CN"/>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针织印染标准品为棉浅色染色面料，当产品不同时，参照《针织印染面料单位产品能耗限额》（FZ/T 07019）进行换算。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Pr>
        <w:widowControl/>
        <w:jc w:val="center"/>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4" w:name="_Toc24056"/>
      <w:bookmarkStart w:id="155" w:name="_Toc9022"/>
      <w:bookmarkStart w:id="156" w:name="_Toc28205"/>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36</w:t>
      </w:r>
      <w:bookmarkEnd w:id="154"/>
      <w:bookmarkEnd w:id="155"/>
      <w:bookmarkEnd w:id="15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粘胶短纤维行业能源使用情况详表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left"/>
        <w:outlineLvl w:val="9"/>
      </w:pPr>
    </w:p>
    <w:p>
      <w:pPr>
        <w:tabs>
          <w:tab w:val="center" w:pos="6979"/>
        </w:tabs>
        <w:jc w:val="left"/>
        <w:rPr>
          <w:rFonts w:ascii="Times New Roman" w:hAnsi="Times New Roman" w:eastAsia="仿宋_GB2312" w:cs="Times New Roman"/>
          <w:b/>
          <w:bCs/>
        </w:rPr>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kern w:val="2"/>
          <w:sz w:val="21"/>
          <w:szCs w:val="22"/>
          <w:lang w:val="en-US" w:eastAsia="zh-CN" w:bidi="ar-SA"/>
        </w:rPr>
        <w:tab/>
      </w:r>
    </w:p>
    <w:p>
      <w:pPr>
        <w:widowControl/>
        <w:jc w:val="left"/>
        <w:outlineLvl w:val="0"/>
        <w:rPr>
          <w:rFonts w:hint="default" w:ascii="Times New Roman" w:hAnsi="Times New Roman" w:eastAsia="黑体"/>
          <w:bCs/>
          <w:color w:val="000000"/>
          <w:sz w:val="32"/>
          <w:szCs w:val="21"/>
          <w:lang w:val="en-US" w:eastAsia="zh-CN"/>
        </w:rPr>
      </w:pPr>
      <w:bookmarkStart w:id="157" w:name="_Toc16247"/>
      <w:bookmarkStart w:id="158" w:name="_Toc7413"/>
      <w:bookmarkStart w:id="159" w:name="_Toc19283"/>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37</w:t>
      </w:r>
      <w:bookmarkEnd w:id="157"/>
      <w:bookmarkEnd w:id="158"/>
      <w:bookmarkEnd w:id="15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rPr>
          <w:rFonts w:ascii="Times New Roman" w:hAnsi="Times New Roman" w:cs="Times New Roman"/>
        </w:rPr>
      </w:pPr>
    </w:p>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bkMWucB&#10;AADJAwAADgAAAAAAAAABACAAAAAi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fmoyrnAQAAyQ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V9Bl8aDDszmNgHN+4EbdmuQ94mWiPEkz6IyGCflT3dFFXjJHwlFRXdV2ii6NvOSB+8ZDu&#10;IcR3whmSjJYCji+ryo4fQpxCl5BUzbpbpXUeobZkQNTr+tV1zri4EF1bLJJYTN0mK467caa2c90J&#10;meGLwIq9g2+UDLgPLbW4/pTo9xblTquzGLAYu8VglmNiSyMlk/k2Tit28KD2fV661G/wrw8Re85U&#10;UhtT7bk7nHAWY97GtEJ/n3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jKucB&#10;AADJAwAADgAAAAAAAAABACAAAAAi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sOQXoAQAAyQ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MsL5M+vQs1ht05DIzDWxhwa+b7gJeJ9tB6k/5IiKAf1T2e1ZVDJCIlVcuqKtEl0DcfEL94&#10;SHc+xPcSDEkGox7Hl1Xlh48hjqFzSKpm4VZpnUeoLekR9ap6c5U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HUsOQXo&#10;AQAAyQMAAA4AAAAAAAAAAQAgAAAAIgEAAGRycy9lMm9Eb2MueG1sUEsFBgAAAAAGAAYAWQEAAHwF&#10;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1933D"/>
    <w:multiLevelType w:val="singleLevel"/>
    <w:tmpl w:val="9691933D"/>
    <w:lvl w:ilvl="0" w:tentative="0">
      <w:start w:val="3"/>
      <w:numFmt w:val="decimal"/>
      <w:suff w:val="nothing"/>
      <w:lvlText w:val="（%1）"/>
      <w:lvlJc w:val="left"/>
    </w:lvl>
  </w:abstractNum>
  <w:abstractNum w:abstractNumId="1">
    <w:nsid w:val="00000000"/>
    <w:multiLevelType w:val="multilevel"/>
    <w:tmpl w:val="00000000"/>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1"/>
    <w:multiLevelType w:val="multilevel"/>
    <w:tmpl w:val="00000001"/>
    <w:lvl w:ilvl="0" w:tentative="0">
      <w:start w:val="1"/>
      <w:numFmt w:val="decimal"/>
      <w:pStyle w:val="61"/>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3">
    <w:nsid w:val="00000002"/>
    <w:multiLevelType w:val="multilevel"/>
    <w:tmpl w:val="00000002"/>
    <w:lvl w:ilvl="0" w:tentative="0">
      <w:start w:val="0"/>
      <w:numFmt w:val="none"/>
      <w:pStyle w:val="63"/>
      <w:lvlText w:val=""/>
      <w:lvlJc w:val="left"/>
      <w:pPr>
        <w:tabs>
          <w:tab w:val="left" w:pos="360"/>
        </w:tabs>
      </w:pPr>
    </w:lvl>
    <w:lvl w:ilvl="1" w:tentative="0">
      <w:start w:val="1"/>
      <w:numFmt w:val="decimal"/>
      <w:pStyle w:val="54"/>
      <w:suff w:val="nothing"/>
      <w:lvlText w:val="%1%2　"/>
      <w:lvlJc w:val="left"/>
      <w:pPr>
        <w:ind w:left="0" w:firstLine="0"/>
      </w:pPr>
      <w:rPr>
        <w:rFonts w:cs="Times New Roman"/>
        <w:b w:val="0"/>
        <w:bCs w:val="0"/>
        <w:i w:val="0"/>
        <w:iCs w:val="0"/>
        <w:caps w:val="0"/>
        <w:smallCaps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FA787A"/>
    <w:multiLevelType w:val="singleLevel"/>
    <w:tmpl w:val="45FA787A"/>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TU2MTQ5NTBmYThlODNhMjQ3MDc3OThlNjBjOTQifQ=="/>
  </w:docVars>
  <w:rsids>
    <w:rsidRoot w:val="00172A27"/>
    <w:rsid w:val="00002BCD"/>
    <w:rsid w:val="000053F2"/>
    <w:rsid w:val="00057BF2"/>
    <w:rsid w:val="00062045"/>
    <w:rsid w:val="0007407B"/>
    <w:rsid w:val="000A443B"/>
    <w:rsid w:val="000B6449"/>
    <w:rsid w:val="00170651"/>
    <w:rsid w:val="001A53F8"/>
    <w:rsid w:val="001E0028"/>
    <w:rsid w:val="00211EC0"/>
    <w:rsid w:val="00366B3E"/>
    <w:rsid w:val="00397543"/>
    <w:rsid w:val="00495C62"/>
    <w:rsid w:val="004C0838"/>
    <w:rsid w:val="004D201F"/>
    <w:rsid w:val="005357CC"/>
    <w:rsid w:val="0065585C"/>
    <w:rsid w:val="00664B0B"/>
    <w:rsid w:val="00673ED1"/>
    <w:rsid w:val="006A6721"/>
    <w:rsid w:val="006B29EC"/>
    <w:rsid w:val="006C0402"/>
    <w:rsid w:val="00731372"/>
    <w:rsid w:val="0079312F"/>
    <w:rsid w:val="007931DC"/>
    <w:rsid w:val="00824864"/>
    <w:rsid w:val="00832CE6"/>
    <w:rsid w:val="00833968"/>
    <w:rsid w:val="008C5DEC"/>
    <w:rsid w:val="008F5251"/>
    <w:rsid w:val="0092281D"/>
    <w:rsid w:val="009318C4"/>
    <w:rsid w:val="00932D1E"/>
    <w:rsid w:val="00933948"/>
    <w:rsid w:val="00946483"/>
    <w:rsid w:val="00964DAA"/>
    <w:rsid w:val="009A3F33"/>
    <w:rsid w:val="009C702F"/>
    <w:rsid w:val="009F7B24"/>
    <w:rsid w:val="00AB6958"/>
    <w:rsid w:val="00AC11E4"/>
    <w:rsid w:val="00B23E3F"/>
    <w:rsid w:val="00B40F1D"/>
    <w:rsid w:val="00B81887"/>
    <w:rsid w:val="00BD1DE6"/>
    <w:rsid w:val="00BF31F5"/>
    <w:rsid w:val="00C27F5D"/>
    <w:rsid w:val="00C66006"/>
    <w:rsid w:val="00CF61B0"/>
    <w:rsid w:val="00D4698A"/>
    <w:rsid w:val="00DA18EA"/>
    <w:rsid w:val="00EB2785"/>
    <w:rsid w:val="00FF7E0C"/>
    <w:rsid w:val="012E714F"/>
    <w:rsid w:val="017E1452"/>
    <w:rsid w:val="01991D42"/>
    <w:rsid w:val="03D4063A"/>
    <w:rsid w:val="03FE4A47"/>
    <w:rsid w:val="05B63087"/>
    <w:rsid w:val="06322377"/>
    <w:rsid w:val="066658FA"/>
    <w:rsid w:val="06A902C8"/>
    <w:rsid w:val="07841CEB"/>
    <w:rsid w:val="07EC45B7"/>
    <w:rsid w:val="0B3F71A3"/>
    <w:rsid w:val="0B8B5294"/>
    <w:rsid w:val="0BC95965"/>
    <w:rsid w:val="0C4C40A9"/>
    <w:rsid w:val="0E3D10A8"/>
    <w:rsid w:val="0E437D1F"/>
    <w:rsid w:val="0E753DB7"/>
    <w:rsid w:val="0EFC1EF5"/>
    <w:rsid w:val="102500B1"/>
    <w:rsid w:val="119E4588"/>
    <w:rsid w:val="12EF106D"/>
    <w:rsid w:val="147F74C7"/>
    <w:rsid w:val="14F81814"/>
    <w:rsid w:val="15317A8F"/>
    <w:rsid w:val="163A01B7"/>
    <w:rsid w:val="17B56984"/>
    <w:rsid w:val="18DC00FA"/>
    <w:rsid w:val="1B5207E6"/>
    <w:rsid w:val="1B9E0BD2"/>
    <w:rsid w:val="1C1A780C"/>
    <w:rsid w:val="1C5D4EA3"/>
    <w:rsid w:val="1D5E0A88"/>
    <w:rsid w:val="1E0324D5"/>
    <w:rsid w:val="1EC433E8"/>
    <w:rsid w:val="236849AA"/>
    <w:rsid w:val="2393134D"/>
    <w:rsid w:val="239911F4"/>
    <w:rsid w:val="24D221F6"/>
    <w:rsid w:val="25F85034"/>
    <w:rsid w:val="283C5E06"/>
    <w:rsid w:val="293753D6"/>
    <w:rsid w:val="29D07729"/>
    <w:rsid w:val="2A433F41"/>
    <w:rsid w:val="2B0E422E"/>
    <w:rsid w:val="2C9B4CBA"/>
    <w:rsid w:val="2CFF0FE4"/>
    <w:rsid w:val="2E43260A"/>
    <w:rsid w:val="2EB30BAD"/>
    <w:rsid w:val="2FF7CD5C"/>
    <w:rsid w:val="30DB7400"/>
    <w:rsid w:val="33874918"/>
    <w:rsid w:val="34C97F3D"/>
    <w:rsid w:val="35864A2F"/>
    <w:rsid w:val="367905F8"/>
    <w:rsid w:val="376951FF"/>
    <w:rsid w:val="376C6E30"/>
    <w:rsid w:val="379344BE"/>
    <w:rsid w:val="37E36952"/>
    <w:rsid w:val="38084C7C"/>
    <w:rsid w:val="380D7129"/>
    <w:rsid w:val="384D7670"/>
    <w:rsid w:val="38841848"/>
    <w:rsid w:val="39324E64"/>
    <w:rsid w:val="39B200EE"/>
    <w:rsid w:val="39C2331F"/>
    <w:rsid w:val="3B2E39A5"/>
    <w:rsid w:val="3BE86656"/>
    <w:rsid w:val="3BEEFD7E"/>
    <w:rsid w:val="3E6ACFFC"/>
    <w:rsid w:val="3F6F0778"/>
    <w:rsid w:val="40073545"/>
    <w:rsid w:val="4076533A"/>
    <w:rsid w:val="440568AF"/>
    <w:rsid w:val="445C5E19"/>
    <w:rsid w:val="44C81F67"/>
    <w:rsid w:val="456607D8"/>
    <w:rsid w:val="4697137E"/>
    <w:rsid w:val="46C560B5"/>
    <w:rsid w:val="47E5555A"/>
    <w:rsid w:val="48C831A9"/>
    <w:rsid w:val="4B1F4773"/>
    <w:rsid w:val="4CFC6B2C"/>
    <w:rsid w:val="4D1F2BB9"/>
    <w:rsid w:val="4EC3028B"/>
    <w:rsid w:val="4F762CA4"/>
    <w:rsid w:val="4FA81D93"/>
    <w:rsid w:val="4FEF48D8"/>
    <w:rsid w:val="4FF95CC2"/>
    <w:rsid w:val="50F22FC5"/>
    <w:rsid w:val="51B46944"/>
    <w:rsid w:val="548A223D"/>
    <w:rsid w:val="54900AB0"/>
    <w:rsid w:val="56203BAD"/>
    <w:rsid w:val="565D5815"/>
    <w:rsid w:val="571A69E2"/>
    <w:rsid w:val="57BF1C1F"/>
    <w:rsid w:val="581C22F5"/>
    <w:rsid w:val="58FF68A5"/>
    <w:rsid w:val="59327F49"/>
    <w:rsid w:val="5BDD2B45"/>
    <w:rsid w:val="5BF139D8"/>
    <w:rsid w:val="5C9D24EC"/>
    <w:rsid w:val="5DFD4C6F"/>
    <w:rsid w:val="5E19512E"/>
    <w:rsid w:val="5E8765F2"/>
    <w:rsid w:val="5F2D0CB2"/>
    <w:rsid w:val="5FAC716F"/>
    <w:rsid w:val="62124B53"/>
    <w:rsid w:val="64BA0B4B"/>
    <w:rsid w:val="65730CFA"/>
    <w:rsid w:val="66174109"/>
    <w:rsid w:val="67FA33A5"/>
    <w:rsid w:val="683B1A9E"/>
    <w:rsid w:val="68FC5F67"/>
    <w:rsid w:val="69987074"/>
    <w:rsid w:val="6AD54ACE"/>
    <w:rsid w:val="6ADF4FD8"/>
    <w:rsid w:val="6BC962FD"/>
    <w:rsid w:val="6BFFC12D"/>
    <w:rsid w:val="6FEF85C2"/>
    <w:rsid w:val="705F3183"/>
    <w:rsid w:val="70F41A5E"/>
    <w:rsid w:val="71826697"/>
    <w:rsid w:val="71937204"/>
    <w:rsid w:val="723C3D0D"/>
    <w:rsid w:val="72972DB7"/>
    <w:rsid w:val="72BD3E18"/>
    <w:rsid w:val="7302281C"/>
    <w:rsid w:val="73035C83"/>
    <w:rsid w:val="73310DED"/>
    <w:rsid w:val="73FEDA52"/>
    <w:rsid w:val="74B77B71"/>
    <w:rsid w:val="754B0200"/>
    <w:rsid w:val="76CC01F0"/>
    <w:rsid w:val="77DB8C23"/>
    <w:rsid w:val="77EC6541"/>
    <w:rsid w:val="783A3050"/>
    <w:rsid w:val="785267B7"/>
    <w:rsid w:val="78E37540"/>
    <w:rsid w:val="78F45AAD"/>
    <w:rsid w:val="78FFAA0A"/>
    <w:rsid w:val="79032A98"/>
    <w:rsid w:val="796368BB"/>
    <w:rsid w:val="7BDD2791"/>
    <w:rsid w:val="7C603193"/>
    <w:rsid w:val="7CA10273"/>
    <w:rsid w:val="7DF74E3D"/>
    <w:rsid w:val="7DFBD7A1"/>
    <w:rsid w:val="7EDB4852"/>
    <w:rsid w:val="7EF9DAA2"/>
    <w:rsid w:val="7F002749"/>
    <w:rsid w:val="7FA9DA44"/>
    <w:rsid w:val="9EBD7DE6"/>
    <w:rsid w:val="AFBF24B1"/>
    <w:rsid w:val="CF5DE17F"/>
    <w:rsid w:val="CFFD79C4"/>
    <w:rsid w:val="D7DBBDD9"/>
    <w:rsid w:val="DAAA9747"/>
    <w:rsid w:val="DAFF6E06"/>
    <w:rsid w:val="DFFFE11E"/>
    <w:rsid w:val="EBDC3F9F"/>
    <w:rsid w:val="EDEF7446"/>
    <w:rsid w:val="F1FF8C31"/>
    <w:rsid w:val="FBEF68A0"/>
    <w:rsid w:val="FCFF5A3D"/>
    <w:rsid w:val="FE6D9FCD"/>
    <w:rsid w:val="FED5639F"/>
    <w:rsid w:val="FF6FD27F"/>
    <w:rsid w:val="FFB7D528"/>
    <w:rsid w:val="FFBF9DC9"/>
    <w:rsid w:val="FFF71295"/>
    <w:rsid w:val="FFFBC283"/>
    <w:rsid w:val="FFFC4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30"/>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5">
    <w:name w:val="heading 2"/>
    <w:basedOn w:val="1"/>
    <w:next w:val="1"/>
    <w:link w:val="45"/>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paragraph" w:styleId="6">
    <w:name w:val="heading 3"/>
    <w:basedOn w:val="1"/>
    <w:next w:val="1"/>
    <w:link w:val="32"/>
    <w:qFormat/>
    <w:uiPriority w:val="0"/>
    <w:pPr>
      <w:keepNext/>
      <w:keepLines/>
      <w:spacing w:before="260" w:beforeLines="0" w:after="260" w:afterLines="0" w:line="413" w:lineRule="auto"/>
      <w:outlineLvl w:val="2"/>
    </w:pPr>
    <w:rPr>
      <w:rFonts w:ascii="Times New Roman" w:hAnsi="Times New Roman" w:eastAsia="宋体"/>
      <w:b/>
      <w:bCs/>
      <w:kern w:val="2"/>
      <w:sz w:val="32"/>
      <w:szCs w:val="32"/>
    </w:rPr>
  </w:style>
  <w:style w:type="character" w:default="1" w:styleId="18">
    <w:name w:val="Default Paragraph Font"/>
    <w:uiPriority w:val="0"/>
    <w:rPr>
      <w:rFonts w:ascii="Times New Roman" w:hAnsi="Times New Roman" w:eastAsia="宋体"/>
    </w:rPr>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 w:type="paragraph" w:styleId="7">
    <w:name w:val="caption"/>
    <w:basedOn w:val="1"/>
    <w:next w:val="1"/>
    <w:qFormat/>
    <w:uiPriority w:val="0"/>
    <w:rPr>
      <w:rFonts w:ascii="Cambria" w:hAnsi="Cambria" w:eastAsia="黑体"/>
      <w:sz w:val="20"/>
      <w:szCs w:val="20"/>
    </w:rPr>
  </w:style>
  <w:style w:type="paragraph" w:styleId="8">
    <w:name w:val="annotation text"/>
    <w:basedOn w:val="1"/>
    <w:link w:val="24"/>
    <w:uiPriority w:val="0"/>
    <w:pPr>
      <w:jc w:val="left"/>
    </w:pPr>
    <w:rPr>
      <w:rFonts w:ascii="Times New Roman" w:hAnsi="Times New Roman" w:eastAsia="宋体"/>
      <w:kern w:val="2"/>
      <w:sz w:val="21"/>
      <w:szCs w:val="22"/>
    </w:rPr>
  </w:style>
  <w:style w:type="paragraph" w:styleId="9">
    <w:name w:val="Balloon Text"/>
    <w:basedOn w:val="1"/>
    <w:link w:val="33"/>
    <w:uiPriority w:val="0"/>
    <w:rPr>
      <w:rFonts w:ascii="Times New Roman" w:hAnsi="Times New Roman" w:eastAsia="宋体"/>
      <w:kern w:val="2"/>
      <w:sz w:val="18"/>
      <w:szCs w:val="18"/>
    </w:rPr>
  </w:style>
  <w:style w:type="paragraph" w:styleId="10">
    <w:name w:val="footer"/>
    <w:basedOn w:val="1"/>
    <w:link w:val="37"/>
    <w:uiPriority w:val="0"/>
    <w:pPr>
      <w:tabs>
        <w:tab w:val="center" w:pos="4153"/>
        <w:tab w:val="right" w:pos="8306"/>
      </w:tabs>
      <w:snapToGrid w:val="0"/>
      <w:jc w:val="left"/>
    </w:pPr>
    <w:rPr>
      <w:rFonts w:ascii="Times New Roman" w:hAnsi="Times New Roman" w:eastAsia="宋体"/>
      <w:sz w:val="18"/>
      <w:szCs w:val="18"/>
    </w:rPr>
  </w:style>
  <w:style w:type="paragraph" w:styleId="11">
    <w:name w:val="header"/>
    <w:basedOn w:val="1"/>
    <w:link w:val="44"/>
    <w:uiPriority w:val="0"/>
    <w:pPr>
      <w:tabs>
        <w:tab w:val="center" w:pos="4153"/>
        <w:tab w:val="right" w:pos="8306"/>
      </w:tabs>
      <w:snapToGrid w:val="0"/>
      <w:jc w:val="center"/>
    </w:pPr>
    <w:rPr>
      <w:rFonts w:ascii="Times New Roman" w:hAnsi="Times New Roman" w:eastAsia="宋体"/>
      <w:kern w:val="2"/>
      <w:sz w:val="18"/>
      <w:szCs w:val="18"/>
    </w:rPr>
  </w:style>
  <w:style w:type="paragraph" w:styleId="12">
    <w:name w:val="toc 1"/>
    <w:basedOn w:val="1"/>
    <w:next w:val="1"/>
    <w:unhideWhenUsed/>
    <w:uiPriority w:val="39"/>
  </w:style>
  <w:style w:type="paragraph" w:styleId="13">
    <w:name w:val="footnote text"/>
    <w:basedOn w:val="1"/>
    <w:link w:val="25"/>
    <w:uiPriority w:val="0"/>
    <w:pPr>
      <w:snapToGrid w:val="0"/>
      <w:jc w:val="left"/>
    </w:pPr>
    <w:rPr>
      <w:rFonts w:ascii="Times New Roman" w:hAnsi="Times New Roman" w:eastAsia="宋体"/>
      <w:kern w:val="2"/>
      <w:sz w:val="18"/>
      <w:szCs w:val="18"/>
    </w:rPr>
  </w:style>
  <w:style w:type="paragraph" w:styleId="14">
    <w:name w:val="toc 2"/>
    <w:basedOn w:val="1"/>
    <w:next w:val="1"/>
    <w:unhideWhenUsed/>
    <w:uiPriority w:val="39"/>
    <w:pPr>
      <w:ind w:left="420" w:leftChars="200"/>
    </w:pPr>
  </w:style>
  <w:style w:type="paragraph" w:styleId="15">
    <w:name w:val="annotation subject"/>
    <w:basedOn w:val="8"/>
    <w:next w:val="8"/>
    <w:link w:val="47"/>
    <w:uiPriority w:val="0"/>
    <w:rPr>
      <w:rFonts w:ascii="Calibri" w:hAnsi="Calibri" w:eastAsia="宋体"/>
      <w:b/>
      <w:bCs/>
      <w:kern w:val="2"/>
      <w:sz w:val="21"/>
      <w:szCs w:val="22"/>
    </w:rPr>
  </w:style>
  <w:style w:type="table" w:styleId="17">
    <w:name w:val="Table Grid"/>
    <w:basedOn w:val="16"/>
    <w:qFormat/>
    <w:uiPriority w:val="39"/>
    <w:rPr>
      <w:rFonts w:ascii="Calibri" w:hAnsi="Calibri"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rFonts w:ascii="Times New Roman" w:hAnsi="Times New Roman" w:eastAsia="宋体"/>
      <w:b/>
      <w:bCs/>
    </w:rPr>
  </w:style>
  <w:style w:type="character" w:styleId="20">
    <w:name w:val="Emphasis"/>
    <w:qFormat/>
    <w:uiPriority w:val="0"/>
    <w:rPr>
      <w:rFonts w:ascii="Times New Roman" w:hAnsi="Times New Roman" w:eastAsia="宋体"/>
      <w:color w:val="CC0000"/>
    </w:rPr>
  </w:style>
  <w:style w:type="character" w:styleId="21">
    <w:name w:val="Hyperlink"/>
    <w:uiPriority w:val="0"/>
    <w:rPr>
      <w:rFonts w:ascii="Times New Roman" w:hAnsi="Times New Roman" w:eastAsia="宋体"/>
      <w:color w:val="0000FF"/>
      <w:u w:val="single"/>
    </w:rPr>
  </w:style>
  <w:style w:type="character" w:styleId="22">
    <w:name w:val="annotation reference"/>
    <w:uiPriority w:val="0"/>
    <w:rPr>
      <w:rFonts w:ascii="Times New Roman" w:hAnsi="Times New Roman" w:eastAsia="宋体"/>
      <w:sz w:val="21"/>
      <w:szCs w:val="21"/>
    </w:rPr>
  </w:style>
  <w:style w:type="character" w:styleId="23">
    <w:name w:val="footnote reference"/>
    <w:uiPriority w:val="0"/>
    <w:rPr>
      <w:rFonts w:ascii="Times New Roman" w:hAnsi="Times New Roman" w:eastAsia="宋体"/>
      <w:vertAlign w:val="superscript"/>
    </w:rPr>
  </w:style>
  <w:style w:type="character" w:customStyle="1" w:styleId="24">
    <w:name w:val="批注文字 Char"/>
    <w:link w:val="8"/>
    <w:uiPriority w:val="0"/>
    <w:rPr>
      <w:rFonts w:ascii="Times New Roman" w:hAnsi="Times New Roman" w:eastAsia="宋体"/>
      <w:kern w:val="2"/>
      <w:sz w:val="21"/>
      <w:szCs w:val="22"/>
    </w:rPr>
  </w:style>
  <w:style w:type="character" w:customStyle="1" w:styleId="25">
    <w:name w:val="脚注文本 Char"/>
    <w:link w:val="13"/>
    <w:uiPriority w:val="0"/>
    <w:rPr>
      <w:rFonts w:ascii="Times New Roman" w:hAnsi="Times New Roman" w:eastAsia="宋体"/>
      <w:kern w:val="2"/>
      <w:sz w:val="18"/>
      <w:szCs w:val="18"/>
    </w:rPr>
  </w:style>
  <w:style w:type="character" w:customStyle="1" w:styleId="26">
    <w:name w:val="font31"/>
    <w:basedOn w:val="18"/>
    <w:uiPriority w:val="0"/>
    <w:rPr>
      <w:rFonts w:hint="default" w:ascii="Times New Roman" w:hAnsi="Times New Roman" w:cs="Times New Roman"/>
      <w:color w:val="000000"/>
      <w:sz w:val="20"/>
      <w:szCs w:val="20"/>
      <w:u w:val="none"/>
    </w:rPr>
  </w:style>
  <w:style w:type="character" w:customStyle="1" w:styleId="27">
    <w:name w:val="annotation reference"/>
    <w:uiPriority w:val="0"/>
    <w:rPr>
      <w:rFonts w:ascii="Times New Roman" w:hAnsi="Times New Roman" w:eastAsia="宋体"/>
      <w:sz w:val="21"/>
      <w:szCs w:val="21"/>
    </w:rPr>
  </w:style>
  <w:style w:type="character" w:customStyle="1" w:styleId="28">
    <w:name w:val="font51"/>
    <w:basedOn w:val="18"/>
    <w:uiPriority w:val="0"/>
    <w:rPr>
      <w:rFonts w:ascii="Segoe UI Symbol" w:hAnsi="Segoe UI Symbol" w:eastAsia="Segoe UI Symbol" w:cs="Segoe UI Symbol"/>
      <w:color w:val="000000"/>
      <w:sz w:val="20"/>
      <w:szCs w:val="20"/>
      <w:u w:val="none"/>
    </w:rPr>
  </w:style>
  <w:style w:type="character" w:customStyle="1" w:styleId="29">
    <w:name w:val="apple-converted-space"/>
    <w:uiPriority w:val="0"/>
    <w:rPr>
      <w:rFonts w:ascii="Times New Roman" w:hAnsi="Times New Roman" w:eastAsia="宋体"/>
    </w:rPr>
  </w:style>
  <w:style w:type="character" w:customStyle="1" w:styleId="30">
    <w:name w:val="标题 1 Char"/>
    <w:link w:val="4"/>
    <w:uiPriority w:val="0"/>
    <w:rPr>
      <w:rFonts w:ascii="Times New Roman" w:hAnsi="Times New Roman" w:eastAsia="宋体"/>
      <w:b/>
      <w:bCs/>
      <w:kern w:val="44"/>
      <w:sz w:val="44"/>
      <w:szCs w:val="44"/>
    </w:rPr>
  </w:style>
  <w:style w:type="character" w:customStyle="1" w:styleId="31">
    <w:name w:val="font41"/>
    <w:basedOn w:val="18"/>
    <w:uiPriority w:val="0"/>
    <w:rPr>
      <w:rFonts w:hint="eastAsia" w:ascii="仿宋" w:hAnsi="仿宋" w:eastAsia="仿宋" w:cs="仿宋"/>
      <w:color w:val="000000"/>
      <w:sz w:val="16"/>
      <w:szCs w:val="16"/>
      <w:u w:val="none"/>
      <w:vertAlign w:val="superscript"/>
    </w:rPr>
  </w:style>
  <w:style w:type="character" w:customStyle="1" w:styleId="32">
    <w:name w:val="标题 3 Char"/>
    <w:link w:val="6"/>
    <w:uiPriority w:val="0"/>
    <w:rPr>
      <w:rFonts w:ascii="Times New Roman" w:hAnsi="Times New Roman" w:eastAsia="宋体"/>
      <w:b/>
      <w:bCs/>
      <w:kern w:val="2"/>
      <w:sz w:val="32"/>
      <w:szCs w:val="32"/>
    </w:rPr>
  </w:style>
  <w:style w:type="character" w:customStyle="1" w:styleId="33">
    <w:name w:val="批注框文本 Char"/>
    <w:link w:val="9"/>
    <w:uiPriority w:val="0"/>
    <w:rPr>
      <w:rFonts w:ascii="Times New Roman" w:hAnsi="Times New Roman" w:eastAsia="宋体"/>
      <w:kern w:val="2"/>
      <w:sz w:val="18"/>
      <w:szCs w:val="18"/>
    </w:rPr>
  </w:style>
  <w:style w:type="character" w:customStyle="1" w:styleId="34">
    <w:name w:val="批注主题 Char"/>
    <w:link w:val="35"/>
    <w:uiPriority w:val="0"/>
    <w:rPr>
      <w:rFonts w:ascii="Times New Roman" w:hAnsi="Times New Roman" w:eastAsia="宋体"/>
      <w:b/>
      <w:bCs/>
      <w:kern w:val="2"/>
      <w:sz w:val="21"/>
      <w:szCs w:val="22"/>
    </w:rPr>
  </w:style>
  <w:style w:type="paragraph" w:customStyle="1" w:styleId="35">
    <w:name w:val="annotation subject"/>
    <w:basedOn w:val="8"/>
    <w:next w:val="8"/>
    <w:link w:val="34"/>
    <w:uiPriority w:val="0"/>
    <w:rPr>
      <w:rFonts w:ascii="Times New Roman" w:hAnsi="Times New Roman" w:eastAsia="宋体"/>
      <w:b/>
      <w:bCs/>
      <w:kern w:val="2"/>
      <w:sz w:val="21"/>
      <w:szCs w:val="22"/>
    </w:rPr>
  </w:style>
  <w:style w:type="character" w:customStyle="1" w:styleId="36">
    <w:name w:val="apple-style-span"/>
    <w:uiPriority w:val="0"/>
    <w:rPr>
      <w:rFonts w:ascii="Times New Roman" w:hAnsi="Times New Roman" w:eastAsia="宋体"/>
    </w:rPr>
  </w:style>
  <w:style w:type="character" w:customStyle="1" w:styleId="37">
    <w:name w:val="页脚 Char"/>
    <w:link w:val="10"/>
    <w:uiPriority w:val="0"/>
    <w:rPr>
      <w:rFonts w:ascii="Times New Roman" w:hAnsi="Times New Roman" w:eastAsia="宋体"/>
      <w:sz w:val="18"/>
      <w:szCs w:val="18"/>
    </w:rPr>
  </w:style>
  <w:style w:type="character" w:customStyle="1" w:styleId="38">
    <w:name w:val="Placeholder Text"/>
    <w:uiPriority w:val="0"/>
    <w:rPr>
      <w:rFonts w:ascii="Times New Roman" w:hAnsi="Times New Roman" w:eastAsia="宋体"/>
      <w:color w:val="808080"/>
    </w:rPr>
  </w:style>
  <w:style w:type="character" w:customStyle="1" w:styleId="39">
    <w:name w:val="列出段落 Char"/>
    <w:link w:val="40"/>
    <w:uiPriority w:val="0"/>
    <w:rPr>
      <w:rFonts w:ascii="Times New Roman" w:hAnsi="Times New Roman" w:eastAsia="宋体"/>
      <w:kern w:val="2"/>
      <w:sz w:val="21"/>
      <w:szCs w:val="22"/>
    </w:rPr>
  </w:style>
  <w:style w:type="paragraph" w:customStyle="1" w:styleId="40">
    <w:name w:val="List Paragraph"/>
    <w:basedOn w:val="1"/>
    <w:link w:val="39"/>
    <w:uiPriority w:val="0"/>
    <w:pPr>
      <w:ind w:firstLine="420" w:firstLineChars="200"/>
    </w:pPr>
    <w:rPr>
      <w:rFonts w:ascii="Times New Roman" w:hAnsi="Times New Roman" w:eastAsia="宋体"/>
      <w:kern w:val="2"/>
      <w:sz w:val="21"/>
      <w:szCs w:val="22"/>
    </w:rPr>
  </w:style>
  <w:style w:type="character" w:customStyle="1" w:styleId="41">
    <w:name w:val="font71"/>
    <w:basedOn w:val="18"/>
    <w:uiPriority w:val="0"/>
    <w:rPr>
      <w:rFonts w:hint="eastAsia" w:ascii="仿宋" w:hAnsi="仿宋" w:eastAsia="仿宋" w:cs="仿宋"/>
      <w:color w:val="000000"/>
      <w:sz w:val="20"/>
      <w:szCs w:val="20"/>
      <w:u w:val="none"/>
    </w:rPr>
  </w:style>
  <w:style w:type="character" w:customStyle="1" w:styleId="42">
    <w:name w:val="font01"/>
    <w:basedOn w:val="18"/>
    <w:uiPriority w:val="0"/>
    <w:rPr>
      <w:rFonts w:hint="eastAsia" w:ascii="仿宋" w:hAnsi="仿宋" w:eastAsia="仿宋" w:cs="仿宋"/>
      <w:color w:val="000000"/>
      <w:sz w:val="20"/>
      <w:szCs w:val="20"/>
      <w:u w:val="none"/>
      <w:vertAlign w:val="superscript"/>
    </w:rPr>
  </w:style>
  <w:style w:type="character" w:customStyle="1" w:styleId="43">
    <w:name w:val="font61"/>
    <w:basedOn w:val="18"/>
    <w:uiPriority w:val="0"/>
    <w:rPr>
      <w:rFonts w:hint="eastAsia" w:ascii="仿宋" w:hAnsi="仿宋" w:eastAsia="仿宋" w:cs="仿宋"/>
      <w:color w:val="000000"/>
      <w:sz w:val="16"/>
      <w:szCs w:val="16"/>
      <w:u w:val="none"/>
    </w:rPr>
  </w:style>
  <w:style w:type="character" w:customStyle="1" w:styleId="44">
    <w:name w:val="页眉 Char"/>
    <w:link w:val="11"/>
    <w:uiPriority w:val="0"/>
    <w:rPr>
      <w:rFonts w:ascii="Times New Roman" w:hAnsi="Times New Roman" w:eastAsia="宋体"/>
      <w:kern w:val="2"/>
      <w:sz w:val="18"/>
      <w:szCs w:val="18"/>
    </w:rPr>
  </w:style>
  <w:style w:type="character" w:customStyle="1" w:styleId="45">
    <w:name w:val="标题 2 Char"/>
    <w:link w:val="5"/>
    <w:uiPriority w:val="0"/>
    <w:rPr>
      <w:rFonts w:ascii="Calibri Light" w:hAnsi="Calibri Light" w:eastAsia="宋体" w:cs="Times New Roman"/>
      <w:b/>
      <w:bCs/>
      <w:kern w:val="2"/>
      <w:sz w:val="32"/>
      <w:szCs w:val="32"/>
    </w:rPr>
  </w:style>
  <w:style w:type="character" w:customStyle="1" w:styleId="46">
    <w:name w:val="page number"/>
    <w:uiPriority w:val="0"/>
    <w:rPr>
      <w:rFonts w:ascii="Times New Roman" w:hAnsi="Times New Roman" w:eastAsia="宋体"/>
    </w:rPr>
  </w:style>
  <w:style w:type="character" w:customStyle="1" w:styleId="47">
    <w:name w:val="批注主题 Char1"/>
    <w:link w:val="15"/>
    <w:uiPriority w:val="0"/>
    <w:rPr>
      <w:rFonts w:ascii="Calibri" w:hAnsi="Calibri" w:eastAsia="宋体"/>
      <w:b/>
      <w:bCs/>
      <w:kern w:val="2"/>
      <w:sz w:val="21"/>
      <w:szCs w:val="22"/>
    </w:rPr>
  </w:style>
  <w:style w:type="character" w:customStyle="1" w:styleId="48">
    <w:name w:val="段 Char"/>
    <w:link w:val="49"/>
    <w:uiPriority w:val="0"/>
    <w:rPr>
      <w:rFonts w:ascii="宋体"/>
      <w:sz w:val="21"/>
      <w:lang w:val="en-US" w:eastAsia="zh-CN" w:bidi="ar-SA"/>
    </w:rPr>
  </w:style>
  <w:style w:type="paragraph" w:customStyle="1" w:styleId="49">
    <w:name w:val="段"/>
    <w:link w:val="48"/>
    <w:uiPriority w:val="0"/>
    <w:pPr>
      <w:autoSpaceDE w:val="0"/>
      <w:autoSpaceDN w:val="0"/>
      <w:ind w:firstLine="200" w:firstLineChars="200"/>
      <w:jc w:val="both"/>
    </w:pPr>
    <w:rPr>
      <w:rFonts w:ascii="宋体"/>
      <w:sz w:val="21"/>
      <w:lang w:val="en-US" w:eastAsia="zh-CN" w:bidi="ar-SA"/>
    </w:rPr>
  </w:style>
  <w:style w:type="paragraph" w:customStyle="1" w:styleId="50">
    <w:name w:val="五级无标题条"/>
    <w:basedOn w:val="1"/>
    <w:uiPriority w:val="0"/>
    <w:pPr>
      <w:numPr>
        <w:ilvl w:val="6"/>
        <w:numId w:val="1"/>
      </w:numPr>
    </w:pPr>
    <w:rPr>
      <w:rFonts w:ascii="Times New Roman" w:hAnsi="Times New Roman" w:eastAsia="宋体"/>
      <w:szCs w:val="24"/>
    </w:rPr>
  </w:style>
  <w:style w:type="paragraph" w:customStyle="1" w:styleId="51">
    <w:name w:val="三级条标题"/>
    <w:basedOn w:val="52"/>
    <w:next w:val="49"/>
    <w:uiPriority w:val="0"/>
    <w:pPr>
      <w:numPr>
        <w:ilvl w:val="0"/>
        <w:numId w:val="0"/>
      </w:numPr>
      <w:outlineLvl w:val="4"/>
    </w:pPr>
    <w:rPr>
      <w:rFonts w:ascii="Times New Roman" w:hAnsi="Times New Roman" w:eastAsia="宋体"/>
    </w:rPr>
  </w:style>
  <w:style w:type="paragraph" w:customStyle="1" w:styleId="52">
    <w:name w:val="二级条标题"/>
    <w:basedOn w:val="53"/>
    <w:next w:val="49"/>
    <w:uiPriority w:val="0"/>
    <w:pPr>
      <w:numPr>
        <w:ilvl w:val="0"/>
        <w:numId w:val="0"/>
      </w:numPr>
      <w:outlineLvl w:val="3"/>
    </w:pPr>
    <w:rPr>
      <w:rFonts w:ascii="Times New Roman" w:hAnsi="Times New Roman" w:eastAsia="宋体"/>
    </w:rPr>
  </w:style>
  <w:style w:type="paragraph" w:customStyle="1" w:styleId="53">
    <w:name w:val="一级条标题"/>
    <w:basedOn w:val="54"/>
    <w:next w:val="49"/>
    <w:uiPriority w:val="0"/>
    <w:pPr>
      <w:numPr>
        <w:ilvl w:val="1"/>
        <w:numId w:val="0"/>
      </w:numPr>
      <w:spacing w:before="0" w:beforeLines="0" w:after="0" w:afterLines="0"/>
      <w:outlineLvl w:val="2"/>
    </w:pPr>
    <w:rPr>
      <w:rFonts w:ascii="Times New Roman" w:hAnsi="Times New Roman" w:eastAsia="宋体"/>
    </w:rPr>
  </w:style>
  <w:style w:type="paragraph" w:customStyle="1" w:styleId="54">
    <w:name w:val="章标题"/>
    <w:next w:val="49"/>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55">
    <w:name w:val="二级无标题条"/>
    <w:basedOn w:val="1"/>
    <w:uiPriority w:val="0"/>
    <w:pPr>
      <w:numPr>
        <w:ilvl w:val="3"/>
        <w:numId w:val="1"/>
      </w:numPr>
    </w:pPr>
    <w:rPr>
      <w:rFonts w:ascii="Times New Roman" w:hAnsi="Times New Roman" w:eastAsia="宋体"/>
      <w:szCs w:val="24"/>
    </w:rPr>
  </w:style>
  <w:style w:type="paragraph" w:customStyle="1" w:styleId="56">
    <w:name w:val="一级无标题条"/>
    <w:basedOn w:val="1"/>
    <w:uiPriority w:val="0"/>
    <w:pPr>
      <w:numPr>
        <w:ilvl w:val="2"/>
        <w:numId w:val="1"/>
      </w:numPr>
    </w:pPr>
    <w:rPr>
      <w:rFonts w:ascii="Times New Roman" w:hAnsi="Times New Roman" w:eastAsia="宋体"/>
      <w:szCs w:val="24"/>
    </w:rPr>
  </w:style>
  <w:style w:type="paragraph" w:styleId="57">
    <w:name w:val=""/>
    <w:uiPriority w:val="0"/>
    <w:rPr>
      <w:rFonts w:ascii="Calibri" w:hAnsi="Calibri"/>
      <w:kern w:val="2"/>
      <w:sz w:val="21"/>
      <w:szCs w:val="22"/>
      <w:lang w:val="en-US" w:eastAsia="zh-CN" w:bidi="ar-SA"/>
    </w:rPr>
  </w:style>
  <w:style w:type="paragraph" w:customStyle="1" w:styleId="58">
    <w:name w:val="Document Map"/>
    <w:basedOn w:val="1"/>
    <w:uiPriority w:val="0"/>
    <w:pPr>
      <w:shd w:val="clear" w:color="auto" w:fill="000080"/>
    </w:pPr>
    <w:rPr>
      <w:rFonts w:ascii="Times New Roman" w:hAnsi="Times New Roman" w:eastAsia="宋体"/>
    </w:rPr>
  </w:style>
  <w:style w:type="paragraph" w:customStyle="1" w:styleId="59">
    <w:name w:val="四级无标题条"/>
    <w:basedOn w:val="1"/>
    <w:uiPriority w:val="0"/>
    <w:pPr>
      <w:numPr>
        <w:ilvl w:val="5"/>
        <w:numId w:val="1"/>
      </w:numPr>
    </w:pPr>
    <w:rPr>
      <w:rFonts w:ascii="Times New Roman" w:hAnsi="Times New Roman" w:eastAsia="宋体"/>
      <w:szCs w:val="24"/>
    </w:rPr>
  </w:style>
  <w:style w:type="paragraph" w:customStyle="1" w:styleId="6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1">
    <w:name w:val="正文表标题"/>
    <w:next w:val="49"/>
    <w:uiPriority w:val="0"/>
    <w:pPr>
      <w:numPr>
        <w:ilvl w:val="0"/>
        <w:numId w:val="3"/>
      </w:numPr>
      <w:jc w:val="center"/>
    </w:pPr>
    <w:rPr>
      <w:rFonts w:ascii="黑体" w:eastAsia="黑体"/>
      <w:sz w:val="21"/>
      <w:lang w:val="en-US" w:eastAsia="zh-CN" w:bidi="ar-SA"/>
    </w:rPr>
  </w:style>
  <w:style w:type="paragraph" w:customStyle="1" w:styleId="62">
    <w:name w:val="图表脚注"/>
    <w:next w:val="49"/>
    <w:uiPriority w:val="0"/>
    <w:pPr>
      <w:ind w:left="300" w:leftChars="200" w:hanging="100" w:hangingChars="100"/>
      <w:jc w:val="both"/>
    </w:pPr>
    <w:rPr>
      <w:rFonts w:ascii="宋体"/>
      <w:sz w:val="18"/>
      <w:lang w:val="en-US" w:eastAsia="zh-CN" w:bidi="ar-SA"/>
    </w:rPr>
  </w:style>
  <w:style w:type="paragraph" w:customStyle="1" w:styleId="63">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64">
    <w:name w:val="Default"/>
    <w:uiPriority w:val="0"/>
    <w:pPr>
      <w:widowControl w:val="0"/>
      <w:autoSpaceDE w:val="0"/>
      <w:autoSpaceDN w:val="0"/>
      <w:adjustRightInd w:val="0"/>
    </w:pPr>
    <w:rPr>
      <w:color w:val="000000"/>
      <w:sz w:val="24"/>
      <w:szCs w:val="24"/>
      <w:lang w:val="en-US" w:eastAsia="zh-CN" w:bidi="ar-SA"/>
    </w:rPr>
  </w:style>
  <w:style w:type="paragraph" w:customStyle="1" w:styleId="65">
    <w:name w:val="五级条标题"/>
    <w:basedOn w:val="66"/>
    <w:next w:val="49"/>
    <w:uiPriority w:val="0"/>
    <w:pPr>
      <w:numPr>
        <w:ilvl w:val="0"/>
        <w:numId w:val="0"/>
      </w:numPr>
      <w:outlineLvl w:val="6"/>
    </w:pPr>
    <w:rPr>
      <w:rFonts w:ascii="Times New Roman" w:hAnsi="Times New Roman" w:eastAsia="宋体"/>
    </w:rPr>
  </w:style>
  <w:style w:type="paragraph" w:customStyle="1" w:styleId="66">
    <w:name w:val="四级条标题"/>
    <w:basedOn w:val="51"/>
    <w:next w:val="49"/>
    <w:uiPriority w:val="0"/>
    <w:pPr>
      <w:numPr>
        <w:ilvl w:val="0"/>
        <w:numId w:val="0"/>
      </w:numPr>
      <w:outlineLvl w:val="5"/>
    </w:pPr>
    <w:rPr>
      <w:rFonts w:ascii="Times New Roman" w:hAnsi="Times New Roman" w:eastAsia="宋体"/>
    </w:rPr>
  </w:style>
  <w:style w:type="paragraph" w:customStyle="1" w:styleId="67">
    <w:name w:val="Revision"/>
    <w:uiPriority w:val="0"/>
    <w:rPr>
      <w:kern w:val="2"/>
      <w:sz w:val="21"/>
      <w:szCs w:val="22"/>
      <w:lang w:val="en-US" w:eastAsia="zh-CN" w:bidi="ar-SA"/>
    </w:rPr>
  </w:style>
  <w:style w:type="paragraph" w:customStyle="1" w:styleId="68">
    <w:name w:val="列出段落2"/>
    <w:basedOn w:val="1"/>
    <w:qFormat/>
    <w:uiPriority w:val="99"/>
    <w:pPr>
      <w:ind w:firstLine="420" w:firstLineChars="200"/>
    </w:pPr>
  </w:style>
  <w:style w:type="paragraph" w:customStyle="1" w:styleId="69">
    <w:name w:val="三级无标题条"/>
    <w:basedOn w:val="1"/>
    <w:uiPriority w:val="0"/>
    <w:pPr>
      <w:numPr>
        <w:ilvl w:val="4"/>
        <w:numId w:val="1"/>
      </w:numPr>
    </w:pPr>
    <w:rPr>
      <w:rFonts w:ascii="Times New Roman" w:hAnsi="Times New Roman" w:eastAsia="宋体"/>
      <w:szCs w:val="24"/>
    </w:rPr>
  </w:style>
  <w:style w:type="paragraph" w:customStyle="1" w:styleId="70">
    <w:name w:val="列出段落1"/>
    <w:basedOn w:val="1"/>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17957</Words>
  <Characters>18831</Characters>
  <Lines>80</Lines>
  <Paragraphs>22</Paragraphs>
  <TotalTime>58.6666666666667</TotalTime>
  <ScaleCrop>false</ScaleCrop>
  <LinksUpToDate>false</LinksUpToDate>
  <CharactersWithSpaces>19084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2016-12-11T09:23:00Z</dcterms:created>
  <dc:creator>lenovo</dc:creator>
  <cp:lastModifiedBy>薯洛卷卷</cp:lastModifiedBy>
  <cp:lastPrinted>2023-10-24T17:44:13Z</cp:lastPrinted>
  <dcterms:modified xsi:type="dcterms:W3CDTF">2023-12-13T06:07:55Z</dcterms:modified>
  <dc:title>电石行业和铁合金行业能耗限额标准强化实施计划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657C6AF8C4524BE6AFEABE0B865BBD9D_13</vt:lpwstr>
  </property>
</Properties>
</file>