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90" w:lineRule="exact"/>
        <w:jc w:val="both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各市指标分配表</w:t>
      </w:r>
    </w:p>
    <w:bookmarkEnd w:id="0"/>
    <w:tbl>
      <w:tblPr>
        <w:tblStyle w:val="3"/>
        <w:tblpPr w:leftFromText="180" w:rightFromText="180" w:vertAnchor="text" w:horzAnchor="page" w:tblpX="1520" w:tblpY="679"/>
        <w:tblOverlap w:val="never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2790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市</w:t>
            </w:r>
          </w:p>
        </w:tc>
        <w:tc>
          <w:tcPr>
            <w:tcW w:w="163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申报数量（项）</w:t>
            </w:r>
          </w:p>
        </w:tc>
        <w:tc>
          <w:tcPr>
            <w:tcW w:w="17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指标分配（项）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合肥市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滁州市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宿州市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阜阳市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淮北市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马鞍山市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芜湖市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淮南市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蚌埠市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亳州市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池州市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六安市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3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仿宋_GB2312"/>
                <w:lang w:val="en-US" w:eastAsia="zh-CN"/>
              </w:rPr>
              <w:t>合计</w:t>
            </w:r>
          </w:p>
        </w:tc>
        <w:tc>
          <w:tcPr>
            <w:tcW w:w="163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7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</w:tbl>
    <w:p>
      <w:pPr>
        <w:widowControl w:val="0"/>
        <w:numPr>
          <w:ilvl w:val="0"/>
          <w:numId w:val="0"/>
        </w:numPr>
        <w:spacing w:line="59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90" w:lineRule="exact"/>
        <w:jc w:val="both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6EEC"/>
    <w:rsid w:val="677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2023-07-25T08:01:00Z</dcterms:created>
  <dc:creator>杨晓辉</dc:creator>
  <cp:lastModifiedBy>杨晓辉</cp:lastModifiedBy>
  <dcterms:modified xsi:type="dcterms:W3CDTF">2023-07-25T08:01:58Z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