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rPr>
          <w:rFonts w:hint="eastAsia" w:ascii="方正小标宋简体" w:hAnsi="方正小标宋简体" w:eastAsia="方正小标宋简体" w:cs="Times New Roman"/>
          <w:sz w:val="44"/>
          <w:szCs w:val="44"/>
        </w:rPr>
      </w:pPr>
      <w:r>
        <w:rPr>
          <w:rFonts w:hint="eastAsia" w:ascii="方正小标宋简体" w:hAnsi="方正小标宋简体" w:eastAsia="方正小标宋简体" w:cs="Times New Roman"/>
          <w:sz w:val="44"/>
          <w:szCs w:val="44"/>
        </w:rPr>
        <w:t>“标准化+技术创新”服务</w:t>
      </w:r>
    </w:p>
    <w:p>
      <w:pPr>
        <w:spacing w:line="580" w:lineRule="exact"/>
        <w:jc w:val="center"/>
        <w:rPr>
          <w:rFonts w:hint="eastAsia" w:ascii="方正小标宋简体" w:hAnsi="方正小标宋简体" w:eastAsia="方正小标宋简体" w:cs="Times New Roman"/>
          <w:sz w:val="44"/>
          <w:szCs w:val="44"/>
        </w:rPr>
      </w:pPr>
    </w:p>
    <w:p>
      <w:pPr>
        <w:spacing w:line="580" w:lineRule="exact"/>
        <w:ind w:firstLine="566" w:firstLineChars="177"/>
        <w:rPr>
          <w:rFonts w:ascii="仿宋_GB2312" w:hAnsi="Times New Roman" w:eastAsia="仿宋_GB2312" w:cs="Times New Roman"/>
          <w:sz w:val="32"/>
          <w:szCs w:val="32"/>
        </w:rPr>
      </w:pPr>
      <w:r>
        <w:rPr>
          <w:rFonts w:hint="eastAsia" w:ascii="仿宋_GB2312" w:hAnsi="Times New Roman" w:eastAsia="仿宋_GB2312" w:cs="Times New Roman"/>
          <w:sz w:val="32"/>
          <w:szCs w:val="32"/>
        </w:rPr>
        <w:t>安徽华普生产力促进中心有限公司（以下简称“华普”）成立于2015年6月，总部位于安徽省芜湖市弋江区马塘街道利民东路松韵园四期综合楼四层。2018年，旗下专利代理事务所成立，同年成为芜湖市优秀科技服务机构；2019年，安庆、苏州、南京分公司成立；2020年成为国家高新技术企业、安徽省中小企业公共服务示范平台；2021年成为安徽省商标品牌示范企业、芜湖市第一批工业互联网服务商、弋江区质量基础设施一站式服务站等；2022年发布1项国家标准GB/T 41563-2022，参与4项工业互联网领域国家标准，获得2021年生产力促进（服务贡献）奖、成为省科技服务标准化试点单位、第五批省级服务型制造示范平台、省知识产权信息公共服务网点等，同年在安徽省科技厅组织的2022年度科技中介服务机构工作绩效评价，全省共有114家科技中介机构入选，公司取得了科技创新服务排名全省第二名，政策咨询服务全省第九名的优异成绩。</w:t>
      </w:r>
    </w:p>
    <w:p>
      <w:pPr>
        <w:spacing w:line="580" w:lineRule="exact"/>
        <w:ind w:firstLine="566" w:firstLineChars="177"/>
        <w:rPr>
          <w:rFonts w:ascii="仿宋_GB2312" w:hAnsi="Times New Roman" w:eastAsia="仿宋_GB2312" w:cs="Times New Roman"/>
          <w:sz w:val="32"/>
          <w:szCs w:val="32"/>
        </w:rPr>
      </w:pPr>
      <w:r>
        <w:rPr>
          <w:rFonts w:hint="eastAsia" w:ascii="仿宋_GB2312" w:hAnsi="Times New Roman" w:eastAsia="仿宋_GB2312" w:cs="Times New Roman"/>
          <w:sz w:val="32"/>
          <w:szCs w:val="32"/>
        </w:rPr>
        <w:t>公司致力于为企事业单位、研究机构、社会团体和政府部门提供专业的知识产权综合代理、项目咨询、质量提升、标准研制、检验检测、体系认证等服务。标准方面主要服务内容包括为企事业单位提供国家、行业、地方、团体标准研制、宣贯技术服务与咨询，企业标准化战略规划、项目研究、体系建立、试点示范研究、技术服务与咨询等。</w:t>
      </w:r>
    </w:p>
    <w:p>
      <w:pPr>
        <w:spacing w:line="580" w:lineRule="exact"/>
        <w:ind w:firstLine="566" w:firstLineChars="177"/>
        <w:rPr>
          <w:rFonts w:ascii="仿宋_GB2312" w:hAnsi="Times New Roman" w:eastAsia="仿宋_GB2312" w:cs="Times New Roman"/>
          <w:sz w:val="32"/>
          <w:szCs w:val="32"/>
        </w:rPr>
      </w:pPr>
      <w:r>
        <w:rPr>
          <w:rFonts w:hint="eastAsia" w:ascii="仿宋_GB2312" w:hAnsi="Times New Roman" w:eastAsia="仿宋_GB2312" w:cs="Times New Roman"/>
          <w:sz w:val="32"/>
          <w:szCs w:val="32"/>
        </w:rPr>
        <w:t>公司集聚了一批标准化领域的高校、科研机构和企事业单位，形成了从标准化前沿研究到标准化应用的完整链条，促进了标准化创新能力，提升了标准化服务能力。服务对象主要处于芜湖、安庆、南京、苏州等长三角地区，覆盖面广，服务的企业很多具有龙头和带领地位，为区域经济发展做出重要贡献。2020年开始至今，组织培训百余次，上门提供“标准化+技术创新”服务50余次，为中小企业标准化提供优秀的“标准化”解决方案。</w:t>
      </w:r>
    </w:p>
    <w:p>
      <w:pPr>
        <w:spacing w:line="580" w:lineRule="exact"/>
        <w:ind w:firstLine="569" w:firstLineChars="177"/>
        <w:rPr>
          <w:rFonts w:ascii="仿宋_GB2312" w:hAnsi="Times New Roman" w:eastAsia="仿宋_GB2312" w:cs="Times New Roman"/>
          <w:b/>
          <w:bCs/>
          <w:sz w:val="32"/>
          <w:szCs w:val="32"/>
        </w:rPr>
      </w:pPr>
      <w:r>
        <w:rPr>
          <w:rFonts w:hint="eastAsia" w:ascii="仿宋_GB2312" w:hAnsi="Times New Roman" w:eastAsia="仿宋_GB2312" w:cs="Times New Roman"/>
          <w:b/>
          <w:bCs/>
          <w:sz w:val="32"/>
          <w:szCs w:val="32"/>
        </w:rPr>
        <w:t>服务背景：</w:t>
      </w:r>
    </w:p>
    <w:p>
      <w:pPr>
        <w:spacing w:line="580" w:lineRule="exact"/>
        <w:ind w:firstLine="566" w:firstLineChars="177"/>
        <w:rPr>
          <w:rFonts w:ascii="仿宋_GB2312" w:hAnsi="Times New Roman" w:eastAsia="仿宋_GB2312" w:cs="Times New Roman"/>
          <w:sz w:val="32"/>
          <w:szCs w:val="32"/>
        </w:rPr>
      </w:pPr>
      <w:r>
        <w:rPr>
          <w:rFonts w:hint="eastAsia" w:ascii="仿宋_GB2312" w:hAnsi="Times New Roman" w:eastAsia="仿宋_GB2312" w:cs="Times New Roman"/>
          <w:sz w:val="32"/>
          <w:szCs w:val="32"/>
        </w:rPr>
        <w:t>中国标准化发展经历了起步探索—开放发展—全面提升三个阶段，当今社会已进入知识经济和信息技术飞速发展的时代，制造业是立国之本，强国之基。中国制造业正在向中国创造、中国质量、中国品牌之路转变。《国家标准化发展纲要》提出要加快构建推动高质量发展的标准体系，助力高技术创新，促进高水平开放，引领高质量发展。公司深入学习文件精神，抓好贯彻落实工作，利用人才储备优势，率先在芜湖市开展了“标准化+技术创新”服务。</w:t>
      </w:r>
    </w:p>
    <w:p>
      <w:pPr>
        <w:spacing w:line="580" w:lineRule="exact"/>
        <w:ind w:firstLine="569" w:firstLineChars="177"/>
        <w:rPr>
          <w:rFonts w:ascii="仿宋_GB2312" w:hAnsi="Times New Roman" w:eastAsia="仿宋_GB2312" w:cs="Times New Roman"/>
          <w:b/>
          <w:bCs/>
          <w:sz w:val="32"/>
          <w:szCs w:val="32"/>
        </w:rPr>
      </w:pPr>
      <w:r>
        <w:rPr>
          <w:rFonts w:hint="eastAsia" w:ascii="仿宋_GB2312" w:hAnsi="Times New Roman" w:eastAsia="仿宋_GB2312" w:cs="Times New Roman"/>
          <w:b/>
          <w:bCs/>
          <w:sz w:val="32"/>
          <w:szCs w:val="32"/>
        </w:rPr>
        <w:t>服务方式：</w:t>
      </w:r>
    </w:p>
    <w:p>
      <w:pPr>
        <w:spacing w:line="580" w:lineRule="exact"/>
        <w:ind w:firstLine="566" w:firstLineChars="177"/>
        <w:rPr>
          <w:rFonts w:ascii="仿宋_GB2312" w:hAnsi="Times New Roman" w:eastAsia="仿宋_GB2312" w:cs="Times New Roman"/>
          <w:sz w:val="32"/>
          <w:szCs w:val="32"/>
        </w:rPr>
      </w:pPr>
      <w:r>
        <w:rPr>
          <w:rFonts w:hint="eastAsia" w:ascii="仿宋_GB2312" w:hAnsi="Times New Roman" w:eastAsia="仿宋_GB2312" w:cs="Times New Roman"/>
          <w:sz w:val="32"/>
          <w:szCs w:val="32"/>
        </w:rPr>
        <w:t>根据企业的项目组成服务团队，了解熟悉企业主营业务范围、行业状况、市场前景等。服务团队专门对接企业，通过建立QQ群、微信群等方式拓展企业咨询和技术指导的途径，提高与需要服务企业的互动性；并通过实地调研包括调查技术要点、生产工艺、设备情况、企业研发能力、自主知识产权等，从各个方面进行综合评估，并对公司技术负责人和决策层进行专访，根据企业实际情况以及公司高层的意见，为企业量身打造最合适的技术标准编写、专利标准化、试点示范申报、标准政策咨询、标准体系构建和运行等技术指导和培训服务，对服务开展提供全流程、多方面和立体化的技术支撑和辅导。</w:t>
      </w:r>
    </w:p>
    <w:p>
      <w:pPr>
        <w:spacing w:line="580" w:lineRule="exact"/>
        <w:ind w:firstLine="569" w:firstLineChars="177"/>
        <w:rPr>
          <w:rFonts w:ascii="仿宋_GB2312" w:hAnsi="Times New Roman" w:eastAsia="仿宋_GB2312" w:cs="Times New Roman"/>
          <w:b/>
          <w:bCs/>
          <w:sz w:val="32"/>
          <w:szCs w:val="32"/>
        </w:rPr>
      </w:pPr>
      <w:r>
        <w:rPr>
          <w:rFonts w:hint="eastAsia" w:ascii="仿宋_GB2312" w:hAnsi="Times New Roman" w:eastAsia="仿宋_GB2312" w:cs="Times New Roman"/>
          <w:b/>
          <w:bCs/>
          <w:sz w:val="32"/>
          <w:szCs w:val="32"/>
        </w:rPr>
        <w:t>服务成效：</w:t>
      </w:r>
    </w:p>
    <w:p>
      <w:pPr>
        <w:spacing w:line="580" w:lineRule="exact"/>
        <w:ind w:firstLine="566" w:firstLineChars="177"/>
        <w:rPr>
          <w:rFonts w:ascii="仿宋_GB2312" w:hAnsi="Times New Roman" w:eastAsia="仿宋_GB2312" w:cs="Times New Roman"/>
          <w:sz w:val="32"/>
          <w:szCs w:val="32"/>
        </w:rPr>
      </w:pPr>
      <w:r>
        <w:rPr>
          <w:rFonts w:hint="eastAsia" w:ascii="仿宋_GB2312" w:hAnsi="Times New Roman" w:eastAsia="仿宋_GB2312" w:cs="Times New Roman"/>
          <w:sz w:val="32"/>
          <w:szCs w:val="32"/>
        </w:rPr>
        <w:t>华普先后与奇瑞汽车、格力电器、中车浦镇阿尔斯通、舜富精密等企业进行深度合作，推进产业升级，助推新能源汽车、家用电器、轨道交通、信息科技等产业快速发展。助力相关单位完成国家、行业、地方、企业、团体标准制修订100余项，极大提高了芜湖市企业标准化水平。华普先后服务途居露营地、中联茶叶、火蓝数据、芜汽联、维顺物业等标准化试点项目。为了保障企业试点示范朝着相对正确的方向走，咨询从前期创建就开始服务，从启动—体系框架构建—完善标准体系—体系宣贯、运行、监督、评价与改进，开展全方面、专业化咨询服务。经初步统计，公司近三年服务了480家企业，解决了企业标准信息、技术等需求，为全省标准创新发展做出了一定的贡献，为中小企业健康发展、走标准创新之路奠定了扎实的基础。</w:t>
      </w:r>
    </w:p>
    <w:p>
      <w:pPr>
        <w:spacing w:line="580" w:lineRule="exact"/>
        <w:ind w:firstLine="566" w:firstLineChars="177"/>
        <w:rPr>
          <w:rFonts w:ascii="仿宋_GB2312" w:hAnsi="Times New Roman" w:eastAsia="仿宋_GB2312" w:cs="Times New Roman"/>
          <w:sz w:val="32"/>
          <w:szCs w:val="32"/>
        </w:rPr>
      </w:pPr>
      <w:r>
        <w:rPr>
          <w:rFonts w:hint="eastAsia" w:ascii="仿宋_GB2312" w:hAnsi="Times New Roman" w:eastAsia="仿宋_GB2312" w:cs="Times New Roman"/>
          <w:sz w:val="32"/>
          <w:szCs w:val="32"/>
        </w:rPr>
        <w:t>以芜湖舜富精密压铸科技有限公司（以下简称“舜富”）安徽省工业信息化领域标准化示范企业为例，详细介绍该项目带来的服务成效。</w:t>
      </w:r>
    </w:p>
    <w:p>
      <w:pPr>
        <w:spacing w:line="580" w:lineRule="exact"/>
        <w:ind w:firstLine="566" w:firstLineChars="177"/>
        <w:rPr>
          <w:rFonts w:ascii="仿宋_GB2312" w:hAnsi="Times New Roman" w:eastAsia="仿宋_GB2312" w:cs="Times New Roman"/>
          <w:sz w:val="32"/>
          <w:szCs w:val="32"/>
        </w:rPr>
      </w:pPr>
      <w:r>
        <w:rPr>
          <w:rFonts w:hint="eastAsia" w:ascii="仿宋_GB2312" w:hAnsi="Times New Roman" w:eastAsia="仿宋_GB2312" w:cs="Times New Roman"/>
          <w:sz w:val="32"/>
          <w:szCs w:val="32"/>
        </w:rPr>
        <w:t>舜富年产铝合金压铸件10000吨，生产范围涉及铝合金压铸、模具设计研发制造及后续机加工。服务之初，公司技术标准体系建设存在很多问题，具体表现在以下几方面：第一，未对技术标准体系表进行完善和构建；第二，与企业有关的技术标准收集不全面，造成标准建立的依据不充分；第三，很多已经过期的技术标准仍然在现实工作中继续实施；第四，没有相关机构和工作人员对技术标准的具体实施情况进行监督和管理。之所以会产生上述问题，主要原因是人们在开展工作时没有一个健全的企业标准管理机构做后盾，更没有相关部门和工作人员对技术标准的实施负责任，技术标准的更新也比较缓慢。</w:t>
      </w:r>
    </w:p>
    <w:p>
      <w:pPr>
        <w:spacing w:line="580" w:lineRule="exact"/>
        <w:ind w:firstLine="566" w:firstLineChars="177"/>
        <w:rPr>
          <w:rFonts w:ascii="仿宋_GB2312" w:hAnsi="Times New Roman" w:eastAsia="仿宋_GB2312" w:cs="Times New Roman"/>
          <w:sz w:val="32"/>
          <w:szCs w:val="32"/>
        </w:rPr>
      </w:pPr>
      <w:r>
        <w:rPr>
          <w:rFonts w:hint="eastAsia" w:ascii="仿宋_GB2312" w:hAnsi="Times New Roman" w:eastAsia="仿宋_GB2312" w:cs="Times New Roman"/>
          <w:sz w:val="32"/>
          <w:szCs w:val="32"/>
        </w:rPr>
        <w:t>为了引导企业完善内部管理制度，建立覆盖生产制造全业务、全流程及全要素的技术标准体系，提升产品质量一致性，推动企业从现有生产模式向数字化、信息化迈进。采用PDCA（策划-实施-检查-处理）循环标准化模式，按照明确目标，制定完善计划；准备实施标准体系，有的放矢；实施体系后评估，收集反馈信息；总结、分析实施过程中的问题，及时整改开展服务。</w:t>
      </w:r>
    </w:p>
    <w:p>
      <w:pPr>
        <w:spacing w:line="580" w:lineRule="exact"/>
        <w:ind w:firstLine="566" w:firstLineChars="177"/>
        <w:rPr>
          <w:rFonts w:ascii="仿宋_GB2312" w:hAnsi="Times New Roman" w:eastAsia="仿宋_GB2312" w:cs="Times New Roman"/>
          <w:sz w:val="32"/>
          <w:szCs w:val="32"/>
        </w:rPr>
      </w:pPr>
      <w:r>
        <w:rPr>
          <w:rFonts w:hint="eastAsia" w:ascii="仿宋_GB2312" w:hAnsi="Times New Roman" w:eastAsia="仿宋_GB2312" w:cs="Times New Roman"/>
          <w:sz w:val="32"/>
          <w:szCs w:val="32"/>
        </w:rPr>
        <w:t>根据相关方需求、企业战略发展等要求，对公司工业化、信息化、标准化水平进行深入调查，分析标准化现状，明确舜富需求点及痛点，对企业技术标准体系进行设计和构建，参照GB/T 15496，建立产品实现</w:t>
      </w:r>
      <w:r>
        <w:rPr>
          <w:rFonts w:hint="eastAsia" w:ascii="仿宋_GB2312" w:hAnsi="Times New Roman" w:eastAsia="仿宋_GB2312" w:cs="Times New Roman"/>
          <w:sz w:val="32"/>
          <w:szCs w:val="32"/>
          <w:highlight w:val="none"/>
        </w:rPr>
        <w:t>、</w:t>
      </w:r>
      <w:r>
        <w:rPr>
          <w:rFonts w:hint="eastAsia" w:ascii="仿宋_GB2312" w:hAnsi="Times New Roman" w:eastAsia="仿宋_GB2312" w:cs="Times New Roman"/>
          <w:sz w:val="32"/>
          <w:szCs w:val="32"/>
        </w:rPr>
        <w:t>基础保障</w:t>
      </w:r>
      <w:r>
        <w:rPr>
          <w:rFonts w:hint="eastAsia" w:ascii="仿宋_GB2312" w:hAnsi="Times New Roman" w:eastAsia="仿宋_GB2312" w:cs="Times New Roman"/>
          <w:sz w:val="32"/>
          <w:szCs w:val="32"/>
          <w:highlight w:val="none"/>
        </w:rPr>
        <w:t>、</w:t>
      </w:r>
      <w:bookmarkStart w:id="0" w:name="_GoBack"/>
      <w:bookmarkEnd w:id="0"/>
      <w:r>
        <w:rPr>
          <w:rFonts w:hint="eastAsia" w:ascii="仿宋_GB2312" w:hAnsi="Times New Roman" w:eastAsia="仿宋_GB2312" w:cs="Times New Roman"/>
          <w:sz w:val="32"/>
          <w:szCs w:val="32"/>
        </w:rPr>
        <w:t>岗位标准三大体系。在产品实现标准体系中，将生产制造过程中分为工艺、质量、环保、物耗、能耗及应急时效六大类标准参数，满足产品全寿命周期（包括设计研发、生产制造、营销、售后等）内对技术标准的需要。</w:t>
      </w:r>
    </w:p>
    <w:p>
      <w:pPr>
        <w:spacing w:line="580" w:lineRule="exact"/>
        <w:ind w:firstLine="566" w:firstLineChars="177"/>
        <w:rPr>
          <w:rFonts w:ascii="仿宋_GB2312" w:hAnsi="Times New Roman" w:eastAsia="仿宋_GB2312" w:cs="Times New Roman"/>
          <w:sz w:val="32"/>
          <w:szCs w:val="32"/>
        </w:rPr>
      </w:pPr>
      <w:r>
        <w:rPr>
          <w:rFonts w:hint="eastAsia" w:ascii="仿宋_GB2312" w:hAnsi="Times New Roman" w:eastAsia="仿宋_GB2312" w:cs="Times New Roman"/>
          <w:sz w:val="32"/>
          <w:szCs w:val="32"/>
        </w:rPr>
        <w:t>在企业技术标准体系建设和管理的过程中，技术标准制修订工作的信息化发挥着不可忽视的作用，标准草案、征求意见稿、报批稿均按规定格式，在征求意见阶段实现了通过技术手段直接上传附件并选择标准内容涉及的相关部门或人员进行操作，实现标准制修订及复审工作在线流程化，节约时间，提高效率。</w:t>
      </w:r>
    </w:p>
    <w:p>
      <w:pPr>
        <w:spacing w:line="580" w:lineRule="exact"/>
        <w:ind w:firstLine="566" w:firstLineChars="177"/>
        <w:rPr>
          <w:rFonts w:ascii="仿宋_GB2312" w:hAnsi="Times New Roman" w:eastAsia="仿宋_GB2312" w:cs="Times New Roman"/>
          <w:sz w:val="32"/>
          <w:szCs w:val="32"/>
        </w:rPr>
      </w:pPr>
      <w:r>
        <w:rPr>
          <w:rFonts w:hint="eastAsia" w:ascii="仿宋_GB2312" w:hAnsi="Times New Roman" w:eastAsia="仿宋_GB2312" w:cs="Times New Roman"/>
          <w:sz w:val="32"/>
          <w:szCs w:val="32"/>
        </w:rPr>
        <w:t>遵循有标采标，无标制标。对无国标、行标的产品，制定企业标准。例如SF-002-2022《铝合金精密压铸件（乘用车变速箱模具）》企业标准，制定技术参数时考虑到目前国内和国际上先进技术要求和产品质量，规定了产品的化学成分、力学性能、产品尺寸、表面质量、内部质量等技术要求和试验方法。力学性能指标在GB/T 15115的基础上，增加了抗拉强度、伸长度、布氏硬度等指标，体现产品的先进性。</w:t>
      </w:r>
    </w:p>
    <w:p>
      <w:pPr>
        <w:spacing w:line="580" w:lineRule="exact"/>
        <w:ind w:firstLine="566" w:firstLineChars="177"/>
        <w:rPr>
          <w:rFonts w:ascii="仿宋_GB2312" w:hAnsi="Times New Roman" w:eastAsia="仿宋_GB2312" w:cs="Times New Roman"/>
          <w:sz w:val="32"/>
          <w:szCs w:val="32"/>
        </w:rPr>
      </w:pPr>
      <w:r>
        <w:rPr>
          <w:rFonts w:hint="eastAsia" w:ascii="仿宋_GB2312" w:hAnsi="Times New Roman" w:eastAsia="仿宋_GB2312" w:cs="Times New Roman"/>
          <w:sz w:val="32"/>
          <w:szCs w:val="32"/>
        </w:rPr>
        <w:t>梳理各项目工艺流程图，以PD29193理想双电控项目为例，过程表述包括进货检验、熔炼、压铸、去料柄、毛坯检验、</w:t>
      </w:r>
      <w:r>
        <w:rPr>
          <w:rFonts w:ascii="仿宋_GB2312" w:hAnsi="Times New Roman" w:eastAsia="仿宋_GB2312" w:cs="Times New Roman"/>
          <w:sz w:val="32"/>
          <w:szCs w:val="32"/>
        </w:rPr>
        <w:t>打磨</w:t>
      </w:r>
      <w:r>
        <w:rPr>
          <w:rFonts w:hint="eastAsia" w:ascii="仿宋_GB2312" w:hAnsi="Times New Roman" w:eastAsia="仿宋_GB2312" w:cs="Times New Roman"/>
          <w:sz w:val="32"/>
          <w:szCs w:val="32"/>
        </w:rPr>
        <w:t>、</w:t>
      </w:r>
      <w:r>
        <w:rPr>
          <w:rFonts w:ascii="仿宋_GB2312" w:hAnsi="Times New Roman" w:eastAsia="仿宋_GB2312" w:cs="Times New Roman"/>
          <w:sz w:val="32"/>
          <w:szCs w:val="32"/>
        </w:rPr>
        <w:t>去毛刺</w:t>
      </w:r>
      <w:r>
        <w:rPr>
          <w:rFonts w:hint="eastAsia" w:ascii="仿宋_GB2312" w:hAnsi="Times New Roman" w:eastAsia="仿宋_GB2312" w:cs="Times New Roman"/>
          <w:sz w:val="32"/>
          <w:szCs w:val="32"/>
        </w:rPr>
        <w:t>、</w:t>
      </w:r>
      <w:r>
        <w:rPr>
          <w:rFonts w:ascii="仿宋_GB2312" w:hAnsi="Times New Roman" w:eastAsia="仿宋_GB2312" w:cs="Times New Roman"/>
          <w:sz w:val="32"/>
          <w:szCs w:val="32"/>
        </w:rPr>
        <w:t>内部周转</w:t>
      </w:r>
      <w:r>
        <w:rPr>
          <w:rFonts w:hint="eastAsia" w:ascii="仿宋_GB2312" w:hAnsi="Times New Roman" w:eastAsia="仿宋_GB2312" w:cs="Times New Roman"/>
          <w:sz w:val="32"/>
          <w:szCs w:val="32"/>
        </w:rPr>
        <w:t>、</w:t>
      </w:r>
      <w:r>
        <w:rPr>
          <w:rFonts w:ascii="仿宋_GB2312" w:hAnsi="Times New Roman" w:eastAsia="仿宋_GB2312" w:cs="Times New Roman"/>
          <w:sz w:val="32"/>
          <w:szCs w:val="32"/>
        </w:rPr>
        <w:t>振磨</w:t>
      </w:r>
      <w:r>
        <w:rPr>
          <w:rFonts w:hint="eastAsia" w:ascii="仿宋_GB2312" w:hAnsi="Times New Roman" w:eastAsia="仿宋_GB2312" w:cs="Times New Roman"/>
          <w:sz w:val="32"/>
          <w:szCs w:val="32"/>
        </w:rPr>
        <w:t>、内部周转、整形1、机加OP1、机边清洗、摩擦焊1、内部周转、摩擦焊2、内部周转、整形2、机加OP2、机边清洗、内部周转、机加OP3、机边清洗、腔体测漏、水道测漏（气检）、水道测漏（水检）、镭雕、整机清洗、水道清洗烘干、终检、包装、入库、发货34个环节，工序作业分为制造、移动、存储、检查四种，对操作过程、产品特性、分类、过程特性、分类进行梳理，形成标准化文件。</w:t>
      </w:r>
    </w:p>
    <w:p>
      <w:pPr>
        <w:spacing w:line="580" w:lineRule="exact"/>
        <w:ind w:firstLine="566" w:firstLineChars="177"/>
        <w:rPr>
          <w:rFonts w:ascii="仿宋_GB2312" w:hAnsi="Times New Roman" w:eastAsia="仿宋_GB2312" w:cs="Times New Roman"/>
          <w:sz w:val="32"/>
          <w:szCs w:val="32"/>
        </w:rPr>
      </w:pPr>
      <w:r>
        <w:rPr>
          <w:rFonts w:hint="eastAsia" w:ascii="仿宋_GB2312" w:hAnsi="Times New Roman" w:eastAsia="仿宋_GB2312" w:cs="Times New Roman"/>
          <w:sz w:val="32"/>
          <w:szCs w:val="32"/>
        </w:rPr>
        <w:t>组织开展必要的标准化和专业技能培训，将标准规定转化为流程图、作业卡以及以信息技术为支撑的人机交互系统等可视化形式，提高实施效率和效果。最终达到各岗位有明确的操作规范，各种操作有标可依，记录归档，关键过程重点保障，体系运行符合程序的目标。</w:t>
      </w:r>
    </w:p>
    <w:p>
      <w:pPr>
        <w:spacing w:line="580" w:lineRule="exact"/>
        <w:ind w:firstLine="566" w:firstLineChars="177"/>
        <w:rPr>
          <w:rFonts w:ascii="仿宋_GB2312" w:hAnsi="Times New Roman" w:eastAsia="仿宋_GB2312" w:cs="Times New Roman"/>
          <w:sz w:val="32"/>
          <w:szCs w:val="32"/>
        </w:rPr>
      </w:pPr>
      <w:r>
        <w:rPr>
          <w:rFonts w:hint="eastAsia" w:ascii="仿宋_GB2312" w:hAnsi="Times New Roman" w:eastAsia="仿宋_GB2312" w:cs="Times New Roman"/>
          <w:sz w:val="32"/>
          <w:szCs w:val="32"/>
        </w:rPr>
        <w:t>编制的技术标准是否发挥作用，关键在执行，实施的好坏，需要靠监督检查来判断。通过检查，判断实施标准的资源与满足标准实施要求的符合情况，分析关键点各项控制措施的完备情况，检验员工对标准的掌握程度，检查岗位人员作业过程与标准的符合情况，验证作业活动产生的结果与标准的符合情况，及时发现标准实施中存在的问题，及时查找原因，采取纠正措施和预防措施做到从源头把控。 按照PDCA循环管理模式，实现“凡是有标准，标准必执行，执行要检查，检查应处置”，确保各类标准得到有效执行。经过华普全方位和专业化的服务，舜富已建成较为完善的标准体系并持续运行改进，标准化水平显著提升。</w:t>
      </w:r>
    </w:p>
    <w:p>
      <w:pPr>
        <w:spacing w:line="580" w:lineRule="exact"/>
        <w:ind w:firstLine="566" w:firstLineChars="177"/>
        <w:rPr>
          <w:rFonts w:ascii="仿宋_GB2312" w:hAnsi="Times New Roman" w:eastAsia="仿宋_GB2312" w:cs="Times New Roman"/>
          <w:sz w:val="32"/>
          <w:szCs w:val="32"/>
        </w:rPr>
      </w:pPr>
      <w:r>
        <w:rPr>
          <w:rFonts w:hint="eastAsia" w:ascii="仿宋_GB2312" w:hAnsi="Times New Roman" w:eastAsia="仿宋_GB2312" w:cs="Times New Roman"/>
          <w:sz w:val="32"/>
          <w:szCs w:val="32"/>
        </w:rPr>
        <w:t>华普通过多项成功案例的经验积累，进一步扩大公司在标准领域的优势， 以标准化服务辐射带动周边区域发展，以优质标准化资源为企业提供“一站式”标准化服务。强化标准化技术咨询，持续做好各类标准化试点示范项目创建的技术支撑。继续做好标准制修订、团体标准培育和发展、企业标准编写及声明公开、标准化综合咨询、企业标准“领跑者”等技术咨询。</w:t>
      </w:r>
    </w:p>
    <w:p>
      <w:pPr>
        <w:spacing w:line="580" w:lineRule="exact"/>
        <w:ind w:firstLine="569" w:firstLineChars="177"/>
        <w:rPr>
          <w:rFonts w:ascii="仿宋_GB2312" w:hAnsi="Times New Roman" w:eastAsia="仿宋_GB2312" w:cs="Times New Roman"/>
          <w:b/>
          <w:bCs/>
          <w:sz w:val="32"/>
          <w:szCs w:val="32"/>
        </w:rPr>
      </w:pPr>
      <w:r>
        <w:rPr>
          <w:rFonts w:hint="eastAsia" w:ascii="仿宋_GB2312" w:hAnsi="Times New Roman" w:eastAsia="仿宋_GB2312" w:cs="Times New Roman"/>
          <w:b/>
          <w:bCs/>
          <w:sz w:val="32"/>
          <w:szCs w:val="32"/>
        </w:rPr>
        <w:t>典型意义：</w:t>
      </w:r>
    </w:p>
    <w:p>
      <w:pPr>
        <w:spacing w:line="580" w:lineRule="exact"/>
        <w:ind w:firstLine="566" w:firstLineChars="177"/>
        <w:rPr>
          <w:rFonts w:ascii="仿宋_GB2312" w:hAnsi="Times New Roman" w:eastAsia="仿宋_GB2312" w:cs="Times New Roman"/>
          <w:sz w:val="32"/>
          <w:szCs w:val="32"/>
        </w:rPr>
      </w:pPr>
      <w:r>
        <w:rPr>
          <w:rFonts w:hint="eastAsia" w:ascii="仿宋_GB2312" w:hAnsi="Times New Roman" w:eastAsia="仿宋_GB2312" w:cs="Times New Roman"/>
          <w:sz w:val="32"/>
          <w:szCs w:val="32"/>
        </w:rPr>
        <w:t>通过整合多方社会资源，结合最新产业政策导向和企业实际，有计划、有针对性、全过程地服务企业，在高端制造业、现代农业、现代服务业、社会管理与公共服务、科技创新等领域，加强标准体系和能力建设，深入开展质量提升行动。实现了通过“标准化+技术创新”提高工作效率、规范设计过程、缩短设计周期、降低生产成本、提高产品/服务质量，提升经济效益等效用。</w:t>
      </w:r>
    </w:p>
    <w:p>
      <w:pPr>
        <w:spacing w:line="580" w:lineRule="exact"/>
        <w:ind w:firstLine="566" w:firstLineChars="177"/>
        <w:rPr>
          <w:rFonts w:ascii="仿宋_GB2312" w:hAnsi="Times New Roman" w:eastAsia="仿宋_GB2312" w:cs="Times New Roman"/>
          <w:sz w:val="32"/>
          <w:szCs w:val="32"/>
        </w:rPr>
      </w:pPr>
      <w:r>
        <w:rPr>
          <w:rFonts w:hint="eastAsia" w:ascii="仿宋_GB2312" w:hAnsi="Times New Roman" w:eastAsia="仿宋_GB2312" w:cs="Times New Roman"/>
          <w:sz w:val="32"/>
          <w:szCs w:val="32"/>
        </w:rPr>
        <w:t>华普始终将持续促进各类组织追求卓越和社会进步作为使命，通过开展各项业务活动，全方位、多层次地推进工作，竭力拓展本公司业务、努力提高全公司员工素质，切实增强华普服务工作能力，为芜湖中小企业发展创造良好的服务环境做出应有的贡献。</w:t>
      </w:r>
    </w:p>
    <w:p>
      <w:pPr>
        <w:spacing w:line="580" w:lineRule="exact"/>
        <w:ind w:firstLine="566" w:firstLineChars="177"/>
        <w:rPr>
          <w:rFonts w:ascii="仿宋_GB2312" w:hAnsi="Times New Roman" w:eastAsia="仿宋_GB2312" w:cs="Times New Roman"/>
          <w:sz w:val="32"/>
          <w:szCs w:val="32"/>
        </w:rPr>
      </w:pPr>
    </w:p>
    <w:sectPr>
      <w:footerReference r:id="rId3" w:type="default"/>
      <w:footerReference r:id="rId4" w:type="even"/>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026094"/>
      <w:docPartObj>
        <w:docPartGallery w:val="autotext"/>
      </w:docPartObj>
    </w:sdtPr>
    <w:sdtContent>
      <w:p>
        <w:pPr>
          <w:pStyle w:val="2"/>
          <w:jc w:val="right"/>
        </w:pPr>
        <w:r>
          <w:rPr>
            <w:rFonts w:asciiTheme="minorEastAsia" w:hAnsiTheme="minorEastAsia"/>
            <w:sz w:val="28"/>
            <w:szCs w:val="28"/>
          </w:rPr>
          <w:fldChar w:fldCharType="begin"/>
        </w:r>
        <w:r>
          <w:rPr>
            <w:rFonts w:asciiTheme="minorEastAsia" w:hAnsiTheme="minorEastAsia"/>
            <w:sz w:val="28"/>
            <w:szCs w:val="28"/>
          </w:rPr>
          <w:instrText xml:space="preserve"> PAGE   \* MERGEFORMAT </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1 -</w:t>
        </w:r>
        <w:r>
          <w:rPr>
            <w:rFonts w:asciiTheme="minorEastAsia" w:hAnsiTheme="minorEastAsia"/>
            <w:sz w:val="28"/>
            <w:szCs w:val="28"/>
          </w:rPr>
          <w:fldChar w:fldCharType="end"/>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EastAsia" w:hAnsiTheme="minorEastAsia"/>
        <w:sz w:val="28"/>
        <w:szCs w:val="28"/>
      </w:rPr>
      <w:id w:val="9026098"/>
      <w:docPartObj>
        <w:docPartGallery w:val="autotext"/>
      </w:docPartObj>
    </w:sdtPr>
    <w:sdtEndPr>
      <w:rPr>
        <w:rFonts w:asciiTheme="minorEastAsia" w:hAnsiTheme="minorEastAsia"/>
        <w:sz w:val="28"/>
        <w:szCs w:val="28"/>
      </w:rPr>
    </w:sdtEndPr>
    <w:sdtContent>
      <w:p>
        <w:pPr>
          <w:pStyle w:val="2"/>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 PAGE   \* MERGEFORMAT </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2 -</w:t>
        </w:r>
        <w:r>
          <w:rPr>
            <w:rFonts w:asciiTheme="minorEastAsia" w:hAnsiTheme="minorEastAsia"/>
            <w:sz w:val="28"/>
            <w:szCs w:val="28"/>
          </w:rP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QxNGI4MTkwMDRmNTkzOTJkNWEzYWZhZTczMWVhMDQifQ=="/>
    <w:docVar w:name="KSO_WPS_MARK_KEY" w:val="67bb783a-f3b0-4833-9ad4-d5a823461835"/>
  </w:docVars>
  <w:rsids>
    <w:rsidRoot w:val="007C5590"/>
    <w:rsid w:val="007C5590"/>
    <w:rsid w:val="00D71182"/>
    <w:rsid w:val="00E8006D"/>
    <w:rsid w:val="00E9767C"/>
    <w:rsid w:val="74C51EB3"/>
    <w:rsid w:val="777966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3583</Words>
  <Characters>3677</Characters>
  <Lines>26</Lines>
  <Paragraphs>7</Paragraphs>
  <TotalTime>9</TotalTime>
  <ScaleCrop>false</ScaleCrop>
  <LinksUpToDate>false</LinksUpToDate>
  <CharactersWithSpaces>3682</CharactersWithSpaces>
  <Application>WPS Office_11.1.0.12970_F1E327BC-269C-435d-A152-05C5408002CA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2023-02-24T02:46:00Z</dcterms:created>
  <dc:creator>PC</dc:creator>
  <cp:lastModifiedBy>Administrator</cp:lastModifiedBy>
  <dcterms:modified xsi:type="dcterms:W3CDTF">2023-03-03T03:10:42Z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2052-11.1.0.12970</vt:lpwstr>
  </property>
  <property fmtid="{D5CDD505-2E9C-101B-9397-08002B2CF9AE}" pid="3" name="ICV">
    <vt:lpwstr>7786CE2D0AE64126B703F251BC1BADD0</vt:lpwstr>
  </property>
</Properties>
</file>