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0B" w:rsidRDefault="00313E0B" w:rsidP="00313E0B">
      <w:pPr>
        <w:spacing w:line="580" w:lineRule="exact"/>
        <w:jc w:val="center"/>
        <w:rPr>
          <w:rFonts w:ascii="方正小标宋简体" w:eastAsia="方正小标宋简体" w:hAnsi="方正小标宋简体" w:hint="eastAsia"/>
          <w:sz w:val="44"/>
          <w:szCs w:val="44"/>
        </w:rPr>
      </w:pPr>
      <w:r>
        <w:rPr>
          <w:rFonts w:ascii="方正小标宋简体" w:eastAsia="方正小标宋简体" w:hAnsi="方正小标宋简体" w:hint="eastAsia"/>
          <w:sz w:val="44"/>
          <w:szCs w:val="44"/>
        </w:rPr>
        <w:t>西藏</w:t>
      </w:r>
      <w:r w:rsidRPr="00313E0B">
        <w:rPr>
          <w:rFonts w:ascii="方正小标宋简体" w:eastAsia="方正小标宋简体" w:hAnsi="方正小标宋简体" w:hint="eastAsia"/>
          <w:sz w:val="44"/>
          <w:szCs w:val="44"/>
        </w:rPr>
        <w:t>八宿海螺</w:t>
      </w:r>
      <w:r>
        <w:rPr>
          <w:rFonts w:ascii="方正小标宋简体" w:eastAsia="方正小标宋简体" w:hAnsi="方正小标宋简体" w:hint="eastAsia"/>
          <w:sz w:val="44"/>
          <w:szCs w:val="44"/>
        </w:rPr>
        <w:t>2.9MWp分</w:t>
      </w:r>
      <w:r w:rsidRPr="00313E0B">
        <w:rPr>
          <w:rFonts w:ascii="方正小标宋简体" w:eastAsia="方正小标宋简体" w:hAnsi="方正小标宋简体" w:hint="eastAsia"/>
          <w:sz w:val="44"/>
          <w:szCs w:val="44"/>
        </w:rPr>
        <w:t>布式光伏发电</w:t>
      </w:r>
    </w:p>
    <w:p w:rsidR="00000000" w:rsidRDefault="00313E0B" w:rsidP="00313E0B">
      <w:pPr>
        <w:spacing w:line="580" w:lineRule="exact"/>
        <w:jc w:val="center"/>
        <w:rPr>
          <w:rFonts w:ascii="方正小标宋简体" w:eastAsia="方正小标宋简体" w:hAnsi="方正小标宋简体" w:hint="eastAsia"/>
          <w:sz w:val="44"/>
          <w:szCs w:val="44"/>
        </w:rPr>
      </w:pPr>
      <w:r w:rsidRPr="00313E0B">
        <w:rPr>
          <w:rFonts w:ascii="方正小标宋简体" w:eastAsia="方正小标宋简体" w:hAnsi="方正小标宋简体" w:hint="eastAsia"/>
          <w:sz w:val="44"/>
          <w:szCs w:val="44"/>
        </w:rPr>
        <w:t>项目</w:t>
      </w:r>
    </w:p>
    <w:p w:rsidR="00313E0B" w:rsidRDefault="00313E0B" w:rsidP="00313E0B">
      <w:pPr>
        <w:spacing w:line="580" w:lineRule="exact"/>
        <w:jc w:val="center"/>
        <w:rPr>
          <w:rFonts w:ascii="方正小标宋简体" w:eastAsia="方正小标宋简体" w:hAnsi="方正小标宋简体" w:hint="eastAsia"/>
          <w:sz w:val="44"/>
          <w:szCs w:val="44"/>
        </w:rPr>
      </w:pPr>
    </w:p>
    <w:p w:rsidR="00313E0B" w:rsidRPr="00313E0B" w:rsidRDefault="00313E0B" w:rsidP="00313E0B">
      <w:pPr>
        <w:spacing w:line="580" w:lineRule="exact"/>
        <w:ind w:firstLineChars="200" w:firstLine="640"/>
        <w:rPr>
          <w:rFonts w:ascii="仿宋_GB2312" w:eastAsia="仿宋_GB2312" w:hAnsi="方正小标宋简体" w:hint="eastAsia"/>
          <w:sz w:val="32"/>
          <w:szCs w:val="32"/>
        </w:rPr>
      </w:pPr>
      <w:r w:rsidRPr="00313E0B">
        <w:rPr>
          <w:rFonts w:ascii="仿宋_GB2312" w:eastAsia="仿宋_GB2312" w:hAnsi="方正小标宋简体" w:hint="eastAsia"/>
          <w:sz w:val="32"/>
          <w:szCs w:val="32"/>
        </w:rPr>
        <w:t>芜湖贝斯特新能源开发有限公司建成于 2005 年，是集“太阳能光伏发电系统太阳能光热集热系统”等产品“产、学、研”于一体的高新技术企业。公司注册资本13800万元，占地面积 50000 平方。公司自成立以来，始终坚持“为人类科学、健康、实用的生活而服务”的经营理念，经过多年的整合发展，形成了“自信、激情、不言败”的拼搏精神。</w:t>
      </w:r>
    </w:p>
    <w:p w:rsidR="00313E0B" w:rsidRPr="00313E0B" w:rsidRDefault="00313E0B" w:rsidP="00313E0B">
      <w:pPr>
        <w:spacing w:line="580" w:lineRule="exact"/>
        <w:ind w:firstLineChars="200" w:firstLine="640"/>
        <w:rPr>
          <w:rFonts w:ascii="仿宋_GB2312" w:eastAsia="仿宋_GB2312" w:hAnsi="方正小标宋简体" w:hint="eastAsia"/>
          <w:sz w:val="32"/>
          <w:szCs w:val="32"/>
        </w:rPr>
      </w:pPr>
      <w:r w:rsidRPr="00313E0B">
        <w:rPr>
          <w:rFonts w:ascii="仿宋_GB2312" w:eastAsia="仿宋_GB2312" w:hAnsi="方正小标宋简体" w:hint="eastAsia"/>
          <w:sz w:val="32"/>
          <w:szCs w:val="32"/>
        </w:rPr>
        <w:t>2005年公司建成安徽省首批次分布式户用光伏电站:2008 年公司研发的太阳能光伏路灯、草坪灯、道路警示燥闪灯、红绿灯等产品相继面市，并畅销欧美、东南亚等国家;2013 年荣获住建部“低碳技术创新及产业化示范企业”和“安徽省绿色建筑评价标识技术依托单位”，2015年荣获“安徽省建筑产业现代化示范基地”;2015 年以来企业积极响应国家扶贫政策号召，先后承建黄山、池州、淮南等地区 EPC 分布式光伏扶贫项目，中集瑞江 EPC 分布式光伏发电项目安徽海螺新能源 EPC分布式光伏发电等项目。</w:t>
      </w:r>
    </w:p>
    <w:p w:rsidR="00313E0B" w:rsidRDefault="00313E0B" w:rsidP="00313E0B">
      <w:pPr>
        <w:spacing w:line="580" w:lineRule="exact"/>
        <w:ind w:firstLineChars="200" w:firstLine="640"/>
        <w:rPr>
          <w:rFonts w:ascii="仿宋_GB2312" w:eastAsia="仿宋_GB2312" w:hAnsi="方正小标宋简体" w:hint="eastAsia"/>
          <w:sz w:val="32"/>
          <w:szCs w:val="32"/>
        </w:rPr>
      </w:pPr>
      <w:r w:rsidRPr="00313E0B">
        <w:rPr>
          <w:rFonts w:ascii="仿宋_GB2312" w:eastAsia="仿宋_GB2312" w:hAnsi="方正小标宋简体" w:hint="eastAsia"/>
          <w:sz w:val="32"/>
          <w:szCs w:val="32"/>
        </w:rPr>
        <w:t>公司先后荣获安徽省工业精品、安徽省新型研发机构、“皖美品牌”、专精特新“冠军”企业、国家专精特新“小巨人”企业、长三</w:t>
      </w:r>
      <w:r w:rsidR="00912582">
        <w:rPr>
          <w:rFonts w:ascii="仿宋_GB2312" w:eastAsia="仿宋_GB2312" w:hAnsi="方正小标宋简体" w:hint="eastAsia"/>
          <w:sz w:val="32"/>
          <w:szCs w:val="32"/>
        </w:rPr>
        <w:t>角</w:t>
      </w:r>
      <w:r w:rsidRPr="00313E0B">
        <w:rPr>
          <w:rFonts w:ascii="仿宋_GB2312" w:eastAsia="仿宋_GB2312" w:hAnsi="方正小标宋简体" w:hint="eastAsia"/>
          <w:sz w:val="32"/>
          <w:szCs w:val="32"/>
        </w:rPr>
        <w:t xml:space="preserve"> G60 科创走廊光伏协同创新产业联盟副理事长单位、芜湖市太阳能热利用工程技术研究中心等荣誉公司先后同北京太阳能研究所、中国科学技术大学等业界</w:t>
      </w:r>
      <w:r w:rsidRPr="00313E0B">
        <w:rPr>
          <w:rFonts w:ascii="仿宋_GB2312" w:eastAsia="仿宋_GB2312" w:hAnsi="方正小标宋简体" w:hint="eastAsia"/>
          <w:sz w:val="32"/>
          <w:szCs w:val="32"/>
        </w:rPr>
        <w:lastRenderedPageBreak/>
        <w:t>知名科研院、所建立长期良好的合作关系，为企业科研技术力量提供强有力的保障。</w:t>
      </w:r>
    </w:p>
    <w:p w:rsidR="00313E0B" w:rsidRPr="00313E0B" w:rsidRDefault="00313E0B" w:rsidP="00313E0B">
      <w:pPr>
        <w:spacing w:line="580" w:lineRule="exact"/>
        <w:ind w:firstLineChars="200" w:firstLine="640"/>
        <w:rPr>
          <w:rFonts w:ascii="仿宋_GB2312" w:eastAsia="仿宋_GB2312" w:hAnsi="方正小标宋简体" w:hint="eastAsia"/>
          <w:sz w:val="32"/>
          <w:szCs w:val="32"/>
        </w:rPr>
      </w:pPr>
      <w:r w:rsidRPr="00313E0B">
        <w:rPr>
          <w:rFonts w:ascii="仿宋_GB2312" w:eastAsia="仿宋_GB2312" w:hAnsi="方正小标宋简体" w:hint="eastAsia"/>
          <w:sz w:val="32"/>
          <w:szCs w:val="32"/>
        </w:rPr>
        <w:t>由安徽海螺新能源有限公司投资，芜湖贝斯特新能源开发有限公司承建的西藏八宿海螺 2.9Wp 分布式光伏发电 EPC 项目利用单身宿、专家公寓、食堂、综合楼、汽轮机房、机修仓库、耐火材料库屋面以及厂区闲置空地布光伏组件，项目计划开工时间为 2022 年 9 月，投产时间为2022 年12 月。采用单品硅光伏组件 5321 块，总装机容量为2.9MWp。电站设计使用寿命25 年，总发电量约 114139170 度</w:t>
      </w:r>
    </w:p>
    <w:p w:rsidR="00313E0B" w:rsidRPr="00313E0B" w:rsidRDefault="00313E0B" w:rsidP="00313E0B">
      <w:pPr>
        <w:spacing w:line="580" w:lineRule="exact"/>
        <w:ind w:firstLineChars="200" w:firstLine="640"/>
        <w:rPr>
          <w:rFonts w:ascii="仿宋_GB2312" w:eastAsia="仿宋_GB2312" w:hAnsi="方正小标宋简体" w:hint="eastAsia"/>
          <w:sz w:val="32"/>
          <w:szCs w:val="32"/>
        </w:rPr>
      </w:pPr>
      <w:r w:rsidRPr="00313E0B">
        <w:rPr>
          <w:rFonts w:ascii="仿宋_GB2312" w:eastAsia="仿宋_GB2312" w:hAnsi="方正小标宋简体" w:hint="eastAsia"/>
          <w:sz w:val="32"/>
          <w:szCs w:val="32"/>
        </w:rPr>
        <w:t>光伏发电是一种清洁的能源，既不直接消耗资源，同时又不释放污染物、废料，也不产生温室气体破坏大气环境，也不会有废渣的堆放、废水排放等问题，有利于保护周围环境，是一种绿色可再生能源。项目在西藏自治区昌都市八宿县白玛镇西巴村，八宿县隶属于西藏自治区昌都市，位于西藏自治区东部，昌都市东南部，地处怒江上游，县城所在地白马镇海拔 3260米。根据 meteonorm 数据综合分析，八宿海螺近年水平面平均太阳能辐射量</w:t>
      </w:r>
      <w:r w:rsidR="00526CB0">
        <w:rPr>
          <w:rFonts w:ascii="仿宋_GB2312" w:eastAsia="仿宋_GB2312" w:hAnsi="方正小标宋简体" w:hint="eastAsia"/>
          <w:sz w:val="32"/>
          <w:szCs w:val="32"/>
        </w:rPr>
        <w:t xml:space="preserve"> 7109.4MJ/</w:t>
      </w:r>
      <w:r w:rsidR="00526CB0">
        <w:rPr>
          <w:rFonts w:ascii="宋体" w:eastAsia="宋体" w:hAnsi="宋体" w:cs="宋体" w:hint="eastAsia"/>
          <w:sz w:val="32"/>
          <w:szCs w:val="32"/>
        </w:rPr>
        <w:t>m²</w:t>
      </w:r>
      <w:r w:rsidRPr="00313E0B">
        <w:rPr>
          <w:rFonts w:ascii="仿宋_GB2312" w:eastAsia="仿宋_GB2312" w:hAnsi="方正小标宋简体" w:hint="eastAsia"/>
          <w:sz w:val="32"/>
          <w:szCs w:val="32"/>
        </w:rPr>
        <w:t>。属我国第一类太阳能资源区域，非常适合建设太阳能光伏电站项目。发电模式为自发自用，采用分块发电、就近并网方案，运行模式均采用固定式。光伏电站系统设计分成 9 个低压并网发电单元，每个并网单元均采用单晶硅 540</w:t>
      </w:r>
      <w:r w:rsidR="004F21F1">
        <w:rPr>
          <w:rFonts w:ascii="仿宋_GB2312" w:eastAsia="仿宋_GB2312" w:hAnsi="方正小标宋简体" w:hint="eastAsia"/>
          <w:sz w:val="32"/>
          <w:szCs w:val="32"/>
        </w:rPr>
        <w:t>w</w:t>
      </w:r>
      <w:r w:rsidRPr="00313E0B">
        <w:rPr>
          <w:rFonts w:ascii="仿宋_GB2312" w:eastAsia="仿宋_GB2312" w:hAnsi="方正小标宋简体" w:hint="eastAsia"/>
          <w:sz w:val="32"/>
          <w:szCs w:val="32"/>
        </w:rPr>
        <w:t xml:space="preserve">p </w:t>
      </w:r>
      <w:r w:rsidR="004F21F1">
        <w:rPr>
          <w:rFonts w:ascii="仿宋_GB2312" w:eastAsia="仿宋_GB2312" w:hAnsi="方正小标宋简体" w:hint="eastAsia"/>
          <w:sz w:val="32"/>
          <w:szCs w:val="32"/>
        </w:rPr>
        <w:t>组件，均采用</w:t>
      </w:r>
      <w:r w:rsidRPr="00313E0B">
        <w:rPr>
          <w:rFonts w:ascii="仿宋_GB2312" w:eastAsia="仿宋_GB2312" w:hAnsi="方正小标宋简体" w:hint="eastAsia"/>
          <w:sz w:val="32"/>
          <w:szCs w:val="32"/>
        </w:rPr>
        <w:t>组串接入式接入逆变器方式，由逆变器逆变成交流电后接入低压并网柜，为了能够向负荷提供可靠的电力</w:t>
      </w:r>
      <w:r w:rsidR="004F21F1">
        <w:rPr>
          <w:rFonts w:ascii="仿宋_GB2312" w:eastAsia="仿宋_GB2312" w:hAnsi="方正小标宋简体" w:hint="eastAsia"/>
          <w:sz w:val="32"/>
          <w:szCs w:val="32"/>
        </w:rPr>
        <w:t>，</w:t>
      </w:r>
      <w:r w:rsidRPr="00313E0B">
        <w:rPr>
          <w:rFonts w:ascii="仿宋_GB2312" w:eastAsia="仿宋_GB2312" w:hAnsi="方正小标宋简体" w:hint="eastAsia"/>
          <w:sz w:val="32"/>
          <w:szCs w:val="32"/>
        </w:rPr>
        <w:t>本光伏项</w:t>
      </w:r>
      <w:r w:rsidRPr="00313E0B">
        <w:rPr>
          <w:rFonts w:ascii="仿宋_GB2312" w:eastAsia="仿宋_GB2312" w:hAnsi="方正小标宋简体" w:hint="eastAsia"/>
          <w:sz w:val="32"/>
          <w:szCs w:val="32"/>
        </w:rPr>
        <w:lastRenderedPageBreak/>
        <w:t>目接入引起的电压不平衡度、电压波动、电压偏差满足国标要求，380V 三相供电电压偏差为标称电压的</w:t>
      </w:r>
      <w:r>
        <w:rPr>
          <w:rFonts w:ascii="仿宋_GB2312" w:eastAsia="仿宋_GB2312" w:hAnsi="方正小标宋简体" w:hint="eastAsia"/>
          <w:sz w:val="32"/>
          <w:szCs w:val="32"/>
        </w:rPr>
        <w:t>±</w:t>
      </w:r>
      <w:r w:rsidRPr="00313E0B">
        <w:rPr>
          <w:rFonts w:ascii="仿宋_GB2312" w:eastAsia="仿宋_GB2312" w:hAnsi="方正小标宋简体" w:hint="eastAsia"/>
          <w:sz w:val="32"/>
          <w:szCs w:val="32"/>
        </w:rPr>
        <w:t>7%，光伏电站接入引起的公共连接点电压变动最大不得超过 3%，公共连接点的负序电压不平衡度应不超过 2%短时不得超过 4%，其中由光伏电站引起的负序电压不平衡度应不超过 1.3%，短时不得超 2.6%，光伏电站向公共连接点注入的直流电流分量不超过其交流额定值 0.5%</w:t>
      </w:r>
      <w:r w:rsidR="004F21F1">
        <w:rPr>
          <w:rFonts w:ascii="仿宋_GB2312" w:eastAsia="仿宋_GB2312" w:hAnsi="方正小标宋简体" w:hint="eastAsia"/>
          <w:sz w:val="32"/>
          <w:szCs w:val="32"/>
        </w:rPr>
        <w:t>。光伏电站接入电网后，公共连接点的谐波电压、总谐</w:t>
      </w:r>
      <w:r w:rsidRPr="00313E0B">
        <w:rPr>
          <w:rFonts w:ascii="仿宋_GB2312" w:eastAsia="仿宋_GB2312" w:hAnsi="方正小标宋简体" w:hint="eastAsia"/>
          <w:sz w:val="32"/>
          <w:szCs w:val="32"/>
        </w:rPr>
        <w:t>波电流分量(方均根) 满要求，其中光伏电站向电网注入的</w:t>
      </w:r>
      <w:r w:rsidR="004F21F1">
        <w:rPr>
          <w:rFonts w:ascii="仿宋_GB2312" w:eastAsia="仿宋_GB2312" w:hAnsi="方正小标宋简体" w:hint="eastAsia"/>
          <w:sz w:val="32"/>
          <w:szCs w:val="32"/>
        </w:rPr>
        <w:t>谐</w:t>
      </w:r>
      <w:r w:rsidR="004F21F1" w:rsidRPr="00313E0B">
        <w:rPr>
          <w:rFonts w:ascii="仿宋_GB2312" w:eastAsia="仿宋_GB2312" w:hAnsi="方正小标宋简体" w:hint="eastAsia"/>
          <w:sz w:val="32"/>
          <w:szCs w:val="32"/>
        </w:rPr>
        <w:t>波</w:t>
      </w:r>
      <w:r w:rsidRPr="00313E0B">
        <w:rPr>
          <w:rFonts w:ascii="仿宋_GB2312" w:eastAsia="仿宋_GB2312" w:hAnsi="方正小标宋简体" w:hint="eastAsia"/>
          <w:sz w:val="32"/>
          <w:szCs w:val="32"/>
        </w:rPr>
        <w:t>电流允许值按光伏电站安装容量与其公共连接点的供电设备容量之比进行分配。在电网电压异常时光伏电站适用于三相系统中的任何一相。当并网点处频率超出 49.5Hz</w:t>
      </w:r>
      <w:r>
        <w:rPr>
          <w:rFonts w:ascii="仿宋_GB2312" w:eastAsia="仿宋_GB2312" w:hAnsi="方正小标宋简体" w:hint="eastAsia"/>
          <w:sz w:val="32"/>
          <w:szCs w:val="32"/>
        </w:rPr>
        <w:t>-</w:t>
      </w:r>
      <w:r w:rsidRPr="00313E0B">
        <w:rPr>
          <w:rFonts w:ascii="仿宋_GB2312" w:eastAsia="仿宋_GB2312" w:hAnsi="方正小标宋简体" w:hint="eastAsia"/>
          <w:sz w:val="32"/>
          <w:szCs w:val="32"/>
        </w:rPr>
        <w:t>50.2Hz 运行范围时，在 0.2</w:t>
      </w:r>
      <w:r>
        <w:rPr>
          <w:rFonts w:ascii="仿宋_GB2312" w:eastAsia="仿宋_GB2312" w:hAnsi="方正小标宋简体" w:hint="eastAsia"/>
          <w:sz w:val="32"/>
          <w:szCs w:val="32"/>
        </w:rPr>
        <w:t>s</w:t>
      </w:r>
      <w:r w:rsidRPr="00313E0B">
        <w:rPr>
          <w:rFonts w:ascii="仿宋_GB2312" w:eastAsia="仿宋_GB2312" w:hAnsi="方正小标宋简体" w:hint="eastAsia"/>
          <w:sz w:val="32"/>
          <w:szCs w:val="32"/>
        </w:rPr>
        <w:t>内停止向电网线路送电。光伏电站保证并网点功率因数在 0.95(超前</w:t>
      </w:r>
      <w:r>
        <w:rPr>
          <w:rFonts w:ascii="仿宋_GB2312" w:eastAsia="仿宋_GB2312" w:hAnsi="方正小标宋简体" w:hint="eastAsia"/>
          <w:sz w:val="32"/>
          <w:szCs w:val="32"/>
        </w:rPr>
        <w:t>)-</w:t>
      </w:r>
      <w:r w:rsidRPr="00313E0B">
        <w:rPr>
          <w:rFonts w:ascii="仿宋_GB2312" w:eastAsia="仿宋_GB2312" w:hAnsi="方正小标宋简体" w:hint="eastAsia"/>
          <w:sz w:val="32"/>
          <w:szCs w:val="32"/>
        </w:rPr>
        <w:t>0.95(滞后)范围内连续可调。</w:t>
      </w:r>
    </w:p>
    <w:p w:rsidR="00313E0B" w:rsidRPr="00313E0B" w:rsidRDefault="00313E0B" w:rsidP="00313E0B">
      <w:pPr>
        <w:spacing w:line="580" w:lineRule="exact"/>
        <w:ind w:firstLineChars="200" w:firstLine="640"/>
        <w:rPr>
          <w:rFonts w:ascii="仿宋_GB2312" w:eastAsia="仿宋_GB2312" w:hAnsi="方正小标宋简体" w:hint="eastAsia"/>
          <w:sz w:val="32"/>
          <w:szCs w:val="32"/>
        </w:rPr>
      </w:pPr>
      <w:r w:rsidRPr="00313E0B">
        <w:rPr>
          <w:rFonts w:ascii="仿宋_GB2312" w:eastAsia="仿宋_GB2312" w:hAnsi="方正小标宋简体" w:hint="eastAsia"/>
          <w:sz w:val="32"/>
          <w:szCs w:val="32"/>
        </w:rPr>
        <w:t>本项目建成后，每年可为电网平均提供 487.81万 kWh与相同发电量的火电相比，相当于每年可节约标煤</w:t>
      </w:r>
      <w:r>
        <w:rPr>
          <w:rFonts w:ascii="仿宋_GB2312" w:eastAsia="仿宋_GB2312" w:hAnsi="方正小标宋简体" w:hint="eastAsia"/>
          <w:sz w:val="32"/>
          <w:szCs w:val="32"/>
        </w:rPr>
        <w:t>1463.</w:t>
      </w:r>
      <w:r w:rsidRPr="00313E0B">
        <w:rPr>
          <w:rFonts w:ascii="仿宋_GB2312" w:eastAsia="仿宋_GB2312" w:hAnsi="方正小标宋简体" w:hint="eastAsia"/>
          <w:sz w:val="32"/>
          <w:szCs w:val="32"/>
        </w:rPr>
        <w:t>3t，相应每年可减少多种大污染物的排放，其中减少二氧化硫</w:t>
      </w:r>
      <w:r>
        <w:rPr>
          <w:rFonts w:ascii="仿宋_GB2312" w:eastAsia="仿宋_GB2312" w:hAnsi="方正小标宋简体" w:hint="eastAsia"/>
          <w:sz w:val="32"/>
          <w:szCs w:val="32"/>
        </w:rPr>
        <w:t>(SO2</w:t>
      </w:r>
      <w:r w:rsidRPr="00313E0B">
        <w:rPr>
          <w:rFonts w:ascii="仿宋_GB2312" w:eastAsia="仿宋_GB2312" w:hAnsi="方正小标宋简体" w:hint="eastAsia"/>
          <w:sz w:val="32"/>
          <w:szCs w:val="32"/>
        </w:rPr>
        <w:t>)排放量约</w:t>
      </w:r>
      <w:r>
        <w:rPr>
          <w:rFonts w:ascii="仿宋_GB2312" w:eastAsia="仿宋_GB2312" w:hAnsi="方正小标宋简体" w:hint="eastAsia"/>
          <w:sz w:val="32"/>
          <w:szCs w:val="32"/>
        </w:rPr>
        <w:t>146.343</w:t>
      </w:r>
      <w:r w:rsidRPr="00313E0B">
        <w:rPr>
          <w:rFonts w:ascii="仿宋_GB2312" w:eastAsia="仿宋_GB2312" w:hAnsi="方正小标宋简体" w:hint="eastAsia"/>
          <w:sz w:val="32"/>
          <w:szCs w:val="32"/>
        </w:rPr>
        <w:t>t,二氧化碳(</w:t>
      </w:r>
      <w:r>
        <w:rPr>
          <w:rFonts w:ascii="仿宋_GB2312" w:eastAsia="仿宋_GB2312" w:hAnsi="方正小标宋简体" w:hint="eastAsia"/>
          <w:sz w:val="32"/>
          <w:szCs w:val="32"/>
        </w:rPr>
        <w:t>C</w:t>
      </w:r>
      <w:r w:rsidRPr="00313E0B">
        <w:rPr>
          <w:rFonts w:ascii="仿宋_GB2312" w:eastAsia="仿宋_GB2312" w:hAnsi="方正小标宋简体" w:hint="eastAsia"/>
          <w:sz w:val="32"/>
          <w:szCs w:val="32"/>
        </w:rPr>
        <w:t>O2)约4224.4346t，减少了有害物质排放量，减轻环境污染，同时不需要消耗水资源，也没有污水排放。光 伏电站是将太阳能转化成电能的过程，在整个工艺流程中，不产生大气、液体、固体废弃物等方面的污染物，也不会产生大的噪声污染。从节约煤炭资源和环境保护角度来分析，本电场的建设具有较为明显的经</w:t>
      </w:r>
      <w:r w:rsidRPr="00313E0B">
        <w:rPr>
          <w:rFonts w:ascii="仿宋_GB2312" w:eastAsia="仿宋_GB2312" w:hAnsi="方正小标宋简体" w:hint="eastAsia"/>
          <w:sz w:val="32"/>
          <w:szCs w:val="32"/>
        </w:rPr>
        <w:lastRenderedPageBreak/>
        <w:t>济效益、社会效益及环境效益。</w:t>
      </w:r>
    </w:p>
    <w:p w:rsidR="00313E0B" w:rsidRPr="00313E0B" w:rsidRDefault="00313E0B" w:rsidP="00313E0B">
      <w:pPr>
        <w:spacing w:line="580" w:lineRule="exact"/>
        <w:ind w:firstLineChars="200" w:firstLine="640"/>
        <w:rPr>
          <w:rFonts w:ascii="仿宋_GB2312" w:eastAsia="仿宋_GB2312" w:hAnsi="方正小标宋简体" w:hint="eastAsia"/>
          <w:sz w:val="32"/>
          <w:szCs w:val="32"/>
        </w:rPr>
      </w:pPr>
      <w:r w:rsidRPr="00313E0B">
        <w:rPr>
          <w:rFonts w:ascii="仿宋_GB2312" w:eastAsia="仿宋_GB2312" w:hAnsi="方正小标宋简体" w:hint="eastAsia"/>
          <w:sz w:val="32"/>
          <w:szCs w:val="32"/>
        </w:rPr>
        <w:t>我国能源消费占世界的 10%以上，同时我国一次能源消费中煤占到70%左右，比世界平均水平高出 40 多个百分点。燃煤造成的二氧化硫和烟尘排放量约占排放总量的</w:t>
      </w:r>
      <w:r>
        <w:rPr>
          <w:rFonts w:ascii="仿宋_GB2312" w:eastAsia="仿宋_GB2312" w:hAnsi="方正小标宋简体" w:hint="eastAsia"/>
          <w:sz w:val="32"/>
          <w:szCs w:val="32"/>
        </w:rPr>
        <w:t xml:space="preserve"> 70%-</w:t>
      </w:r>
      <w:r w:rsidRPr="00313E0B">
        <w:rPr>
          <w:rFonts w:ascii="仿宋_GB2312" w:eastAsia="仿宋_GB2312" w:hAnsi="方正小标宋简体" w:hint="eastAsia"/>
          <w:sz w:val="32"/>
          <w:szCs w:val="32"/>
        </w:rPr>
        <w:t>80%，二化硫排放形成的酸雨面积已占国土面积的 1/3。环境质量的总体水平还在不断恶化，世界十大污染城市我国</w:t>
      </w:r>
      <w:r w:rsidR="00CA56A5">
        <w:rPr>
          <w:rFonts w:ascii="仿宋_GB2312" w:eastAsia="仿宋_GB2312" w:hAnsi="方正小标宋简体" w:hint="eastAsia"/>
          <w:sz w:val="32"/>
          <w:szCs w:val="32"/>
        </w:rPr>
        <w:t>一</w:t>
      </w:r>
      <w:r w:rsidRPr="00313E0B">
        <w:rPr>
          <w:rFonts w:ascii="仿宋_GB2312" w:eastAsia="仿宋_GB2312" w:hAnsi="方正小标宋简体" w:hint="eastAsia"/>
          <w:sz w:val="32"/>
          <w:szCs w:val="32"/>
        </w:rPr>
        <w:t>直占多数。环境污染给我国社会经济发展和人民健康带来了严重影响。世界银行估计 2020年中国由于空气污染造成的环境和健康损失将达到GDP 总量的 13%。光伏发电不产生传统发电术(例如燃煤发电)带来的污染物排放和安全问题，没有废气或噪音污染，没有二氧化硫、氮氧化物排放及二氧化碳排放。系统报废后也很少有环境污染的遗留问题。太阳能是清洁的、可再生的能源，开发太阳能符合 国家环保、节能政策。西藏具有丰富的太阳能资源，且区内多低矮的缓坡丘陵，</w:t>
      </w:r>
      <w:r w:rsidR="00CA56A5">
        <w:rPr>
          <w:rFonts w:ascii="仿宋_GB2312" w:eastAsia="仿宋_GB2312" w:hAnsi="方正小标宋简体" w:hint="eastAsia"/>
          <w:sz w:val="32"/>
          <w:szCs w:val="32"/>
        </w:rPr>
        <w:t>干旱</w:t>
      </w:r>
      <w:r w:rsidRPr="00313E0B">
        <w:rPr>
          <w:rFonts w:ascii="仿宋_GB2312" w:eastAsia="仿宋_GB2312" w:hAnsi="方正小标宋简体" w:hint="eastAsia"/>
          <w:sz w:val="32"/>
          <w:szCs w:val="32"/>
        </w:rPr>
        <w:t>少雨，地广人稀，非常适合于建设大规模高压并网光伏电站。大规模光伏电站的 开发建设可有效减少常规能源尤其是煤炭资源的消耗，保护生态环境，营造出山川秀美的旅游胜地。综上所述，电场建成投运后，可缓解当地电网供电矛盾，提高可再生能源在能源结构中的比重。太阳能电场的建设符合国家能源政策的战略要求，不仅是当地经 济的可持续发展、人民的物质文化生活水平提高的需要也是西藏电力工业发展的需要。本项目的建设符合国家的产业政策和西藏对优化能源结构、保护环境，减少温室气体排放、</w:t>
      </w:r>
      <w:r w:rsidRPr="00313E0B">
        <w:rPr>
          <w:rFonts w:ascii="仿宋_GB2312" w:eastAsia="仿宋_GB2312" w:hAnsi="方正小标宋简体" w:hint="eastAsia"/>
          <w:sz w:val="32"/>
          <w:szCs w:val="32"/>
        </w:rPr>
        <w:lastRenderedPageBreak/>
        <w:t>节约能源的要求，充分利用闲置屋面，对促进我国太阳能光伏发电技术的开发与利用，推进光伏产业发展具有非常重要的意义。</w:t>
      </w:r>
    </w:p>
    <w:sectPr w:rsidR="00313E0B" w:rsidRPr="00313E0B" w:rsidSect="00026E48">
      <w:footerReference w:type="even" r:id="rId6"/>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2E89" w:rsidRDefault="00AA2E89" w:rsidP="00313E0B">
      <w:r>
        <w:separator/>
      </w:r>
    </w:p>
  </w:endnote>
  <w:endnote w:type="continuationSeparator" w:id="1">
    <w:p w:rsidR="00AA2E89" w:rsidRDefault="00AA2E89" w:rsidP="00313E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0000600000000000000"/>
    <w:charset w:val="86"/>
    <w:family w:val="auto"/>
    <w:pitch w:val="variable"/>
    <w:sig w:usb0="800002BF" w:usb1="184F6CF8" w:usb2="00000012" w:usb3="00000000" w:csb0="0016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27331098"/>
      <w:docPartObj>
        <w:docPartGallery w:val="Page Numbers (Bottom of Page)"/>
        <w:docPartUnique/>
      </w:docPartObj>
    </w:sdtPr>
    <w:sdtContent>
      <w:p w:rsidR="00026E48" w:rsidRPr="00026E48" w:rsidRDefault="00026E48">
        <w:pPr>
          <w:pStyle w:val="a4"/>
          <w:rPr>
            <w:rFonts w:asciiTheme="minorEastAsia" w:hAnsiTheme="minorEastAsia"/>
            <w:sz w:val="28"/>
            <w:szCs w:val="28"/>
          </w:rPr>
        </w:pPr>
        <w:r w:rsidRPr="00026E48">
          <w:rPr>
            <w:rFonts w:asciiTheme="minorEastAsia" w:hAnsiTheme="minorEastAsia"/>
            <w:sz w:val="28"/>
            <w:szCs w:val="28"/>
          </w:rPr>
          <w:fldChar w:fldCharType="begin"/>
        </w:r>
        <w:r w:rsidRPr="00026E48">
          <w:rPr>
            <w:rFonts w:asciiTheme="minorEastAsia" w:hAnsiTheme="minorEastAsia"/>
            <w:sz w:val="28"/>
            <w:szCs w:val="28"/>
          </w:rPr>
          <w:instrText xml:space="preserve"> PAGE   \* MERGEFORMAT </w:instrText>
        </w:r>
        <w:r w:rsidRPr="00026E48">
          <w:rPr>
            <w:rFonts w:asciiTheme="minorEastAsia" w:hAnsiTheme="minorEastAsia"/>
            <w:sz w:val="28"/>
            <w:szCs w:val="28"/>
          </w:rPr>
          <w:fldChar w:fldCharType="separate"/>
        </w:r>
        <w:r w:rsidR="00CA56A5" w:rsidRPr="00CA56A5">
          <w:rPr>
            <w:rFonts w:asciiTheme="minorEastAsia" w:hAnsiTheme="minorEastAsia"/>
            <w:noProof/>
            <w:sz w:val="28"/>
            <w:szCs w:val="28"/>
            <w:lang w:val="zh-CN"/>
          </w:rPr>
          <w:t>-</w:t>
        </w:r>
        <w:r w:rsidR="00CA56A5">
          <w:rPr>
            <w:rFonts w:asciiTheme="minorEastAsia" w:hAnsiTheme="minorEastAsia"/>
            <w:noProof/>
            <w:sz w:val="28"/>
            <w:szCs w:val="28"/>
          </w:rPr>
          <w:t xml:space="preserve"> 4 -</w:t>
        </w:r>
        <w:r w:rsidRPr="00026E48">
          <w:rPr>
            <w:rFonts w:asciiTheme="minorEastAsia" w:hAnsiTheme="minorEastAsia"/>
            <w:sz w:val="28"/>
            <w:szCs w:val="28"/>
          </w:rPr>
          <w:fldChar w:fldCharType="end"/>
        </w:r>
      </w:p>
    </w:sdtContent>
  </w:sdt>
  <w:p w:rsidR="00026E48" w:rsidRDefault="00026E4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27331095"/>
      <w:docPartObj>
        <w:docPartGallery w:val="Page Numbers (Bottom of Page)"/>
        <w:docPartUnique/>
      </w:docPartObj>
    </w:sdtPr>
    <w:sdtContent>
      <w:p w:rsidR="00026E48" w:rsidRPr="00026E48" w:rsidRDefault="00026E48">
        <w:pPr>
          <w:pStyle w:val="a4"/>
          <w:jc w:val="right"/>
          <w:rPr>
            <w:rFonts w:asciiTheme="minorEastAsia" w:hAnsiTheme="minorEastAsia"/>
            <w:sz w:val="28"/>
            <w:szCs w:val="28"/>
          </w:rPr>
        </w:pPr>
        <w:r w:rsidRPr="00026E48">
          <w:rPr>
            <w:rFonts w:asciiTheme="minorEastAsia" w:hAnsiTheme="minorEastAsia"/>
            <w:sz w:val="28"/>
            <w:szCs w:val="28"/>
          </w:rPr>
          <w:fldChar w:fldCharType="begin"/>
        </w:r>
        <w:r w:rsidRPr="00026E48">
          <w:rPr>
            <w:rFonts w:asciiTheme="minorEastAsia" w:hAnsiTheme="minorEastAsia"/>
            <w:sz w:val="28"/>
            <w:szCs w:val="28"/>
          </w:rPr>
          <w:instrText xml:space="preserve"> PAGE   \* MERGEFORMAT </w:instrText>
        </w:r>
        <w:r w:rsidRPr="00026E48">
          <w:rPr>
            <w:rFonts w:asciiTheme="minorEastAsia" w:hAnsiTheme="minorEastAsia"/>
            <w:sz w:val="28"/>
            <w:szCs w:val="28"/>
          </w:rPr>
          <w:fldChar w:fldCharType="separate"/>
        </w:r>
        <w:r w:rsidR="00CA56A5" w:rsidRPr="00CA56A5">
          <w:rPr>
            <w:rFonts w:asciiTheme="minorEastAsia" w:hAnsiTheme="minorEastAsia"/>
            <w:noProof/>
            <w:sz w:val="28"/>
            <w:szCs w:val="28"/>
            <w:lang w:val="zh-CN"/>
          </w:rPr>
          <w:t>-</w:t>
        </w:r>
        <w:r w:rsidR="00CA56A5">
          <w:rPr>
            <w:rFonts w:asciiTheme="minorEastAsia" w:hAnsiTheme="minorEastAsia"/>
            <w:noProof/>
            <w:sz w:val="28"/>
            <w:szCs w:val="28"/>
          </w:rPr>
          <w:t xml:space="preserve"> 5 -</w:t>
        </w:r>
        <w:r w:rsidRPr="00026E48">
          <w:rPr>
            <w:rFonts w:asciiTheme="minorEastAsia" w:hAnsiTheme="minorEastAsia"/>
            <w:sz w:val="28"/>
            <w:szCs w:val="28"/>
          </w:rPr>
          <w:fldChar w:fldCharType="end"/>
        </w:r>
      </w:p>
    </w:sdtContent>
  </w:sdt>
  <w:p w:rsidR="00026E48" w:rsidRDefault="00026E4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2E89" w:rsidRDefault="00AA2E89" w:rsidP="00313E0B">
      <w:r>
        <w:separator/>
      </w:r>
    </w:p>
  </w:footnote>
  <w:footnote w:type="continuationSeparator" w:id="1">
    <w:p w:rsidR="00AA2E89" w:rsidRDefault="00AA2E89" w:rsidP="00313E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3E0B"/>
    <w:rsid w:val="00026E48"/>
    <w:rsid w:val="00313E0B"/>
    <w:rsid w:val="004F21F1"/>
    <w:rsid w:val="00526CB0"/>
    <w:rsid w:val="00912582"/>
    <w:rsid w:val="00AA2E89"/>
    <w:rsid w:val="00B45196"/>
    <w:rsid w:val="00CA56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3E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13E0B"/>
    <w:rPr>
      <w:sz w:val="18"/>
      <w:szCs w:val="18"/>
    </w:rPr>
  </w:style>
  <w:style w:type="paragraph" w:styleId="a4">
    <w:name w:val="footer"/>
    <w:basedOn w:val="a"/>
    <w:link w:val="Char0"/>
    <w:uiPriority w:val="99"/>
    <w:unhideWhenUsed/>
    <w:rsid w:val="00313E0B"/>
    <w:pPr>
      <w:tabs>
        <w:tab w:val="center" w:pos="4153"/>
        <w:tab w:val="right" w:pos="8306"/>
      </w:tabs>
      <w:snapToGrid w:val="0"/>
      <w:jc w:val="left"/>
    </w:pPr>
    <w:rPr>
      <w:sz w:val="18"/>
      <w:szCs w:val="18"/>
    </w:rPr>
  </w:style>
  <w:style w:type="character" w:customStyle="1" w:styleId="Char0">
    <w:name w:val="页脚 Char"/>
    <w:basedOn w:val="a0"/>
    <w:link w:val="a4"/>
    <w:uiPriority w:val="99"/>
    <w:rsid w:val="00313E0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371</Words>
  <Characters>2115</Characters>
  <Application>Microsoft Office Word</Application>
  <DocSecurity>0</DocSecurity>
  <Lines>17</Lines>
  <Paragraphs>4</Paragraphs>
  <ScaleCrop>false</ScaleCrop>
  <Company>Microsoft</Company>
  <LinksUpToDate>false</LinksUpToDate>
  <CharactersWithSpaces>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8</cp:revision>
  <dcterms:created xsi:type="dcterms:W3CDTF">2023-02-24T07:44:00Z</dcterms:created>
  <dcterms:modified xsi:type="dcterms:W3CDTF">2023-02-24T08:11:00Z</dcterms:modified>
</cp:coreProperties>
</file>