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仿宋_GB2312"/>
          <w:kern w:val="0"/>
          <w:sz w:val="44"/>
          <w:szCs w:val="44"/>
        </w:rPr>
      </w:pPr>
      <w:r>
        <w:rPr>
          <w:rFonts w:hint="eastAsia" w:ascii="方正小标宋简体" w:hAnsi="方正小标宋简体" w:eastAsia="方正小标宋简体" w:cs="仿宋_GB2312"/>
          <w:kern w:val="0"/>
          <w:sz w:val="44"/>
          <w:szCs w:val="44"/>
        </w:rPr>
        <w:t>研发项目（费用）管理咨询服务</w:t>
      </w:r>
    </w:p>
    <w:p>
      <w:pPr>
        <w:spacing w:line="580" w:lineRule="exact"/>
        <w:jc w:val="center"/>
        <w:rPr>
          <w:rFonts w:hint="eastAsia" w:ascii="方正小标宋简体" w:hAnsi="方正小标宋简体" w:eastAsia="方正小标宋简体" w:cs="仿宋_GB2312"/>
          <w:kern w:val="0"/>
          <w:sz w:val="44"/>
          <w:szCs w:val="44"/>
        </w:rPr>
      </w:pPr>
    </w:p>
    <w:p>
      <w:pPr>
        <w:autoSpaceDE w:val="0"/>
        <w:autoSpaceDN w:val="0"/>
        <w:adjustRightInd w:val="0"/>
        <w:spacing w:line="58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高景科技服务有限公司成立于</w:t>
      </w:r>
      <w:r>
        <w:rPr>
          <w:rFonts w:hint="eastAsia" w:ascii="仿宋_GB2312" w:eastAsia="仿宋_GB2312" w:cs="TimesNewRomanPSMT"/>
          <w:kern w:val="0"/>
          <w:sz w:val="32"/>
          <w:szCs w:val="32"/>
        </w:rPr>
        <w:t xml:space="preserve">2014 </w:t>
      </w:r>
      <w:r>
        <w:rPr>
          <w:rFonts w:hint="eastAsia" w:ascii="仿宋_GB2312" w:eastAsia="仿宋_GB2312" w:cs="仿宋_GB2312"/>
          <w:kern w:val="0"/>
          <w:sz w:val="32"/>
          <w:szCs w:val="32"/>
        </w:rPr>
        <w:t>年，总部位于芜湖，在合肥、深圳、北京、上海等地设立分支机构，业务范围已覆盖长三角、珠三角和京津冀等地区。核心业务包括产业政</w:t>
      </w:r>
      <w:bookmarkStart w:id="0" w:name="_GoBack"/>
      <w:bookmarkEnd w:id="0"/>
      <w:r>
        <w:rPr>
          <w:rFonts w:hint="eastAsia" w:ascii="仿宋_GB2312" w:eastAsia="仿宋_GB2312" w:cs="仿宋_GB2312"/>
          <w:kern w:val="0"/>
          <w:sz w:val="32"/>
          <w:szCs w:val="32"/>
        </w:rPr>
        <w:t>策咨询、研发项目（费用）管理咨询和财税筹划三大板块，主要为企业提供产业政策申报代理、研发管理体系建设、研发费用加计扣除、财税优惠政策筹划等服务内容。</w:t>
      </w:r>
    </w:p>
    <w:p>
      <w:pPr>
        <w:autoSpaceDE w:val="0"/>
        <w:autoSpaceDN w:val="0"/>
        <w:adjustRightInd w:val="0"/>
        <w:spacing w:line="58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在研发项目（费用）管理咨询上，公司组建了一支由中高级职称技术人员、注册会计师、注册税务师、软件工程师、专利工程师等组成的</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科技</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财税</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专业服务团队，</w:t>
      </w:r>
      <w:r>
        <w:rPr>
          <w:rFonts w:hint="eastAsia" w:ascii="仿宋_GB2312" w:eastAsia="仿宋_GB2312" w:cs="宋体"/>
          <w:kern w:val="0"/>
          <w:sz w:val="32"/>
          <w:szCs w:val="32"/>
        </w:rPr>
        <w:t>采</w:t>
      </w:r>
      <w:r>
        <w:rPr>
          <w:rFonts w:hint="eastAsia" w:ascii="仿宋_GB2312" w:eastAsia="仿宋_GB2312" w:cs="仿宋_GB2312"/>
          <w:kern w:val="0"/>
          <w:sz w:val="32"/>
          <w:szCs w:val="32"/>
        </w:rPr>
        <w:t>用</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项目为</w:t>
      </w:r>
      <w:r>
        <w:rPr>
          <w:rFonts w:hint="eastAsia" w:ascii="仿宋_GB2312" w:eastAsia="仿宋_GB2312" w:cs="宋体"/>
          <w:kern w:val="0"/>
          <w:sz w:val="32"/>
          <w:szCs w:val="32"/>
        </w:rPr>
        <w:t>纲</w:t>
      </w:r>
      <w:r>
        <w:rPr>
          <w:rFonts w:hint="eastAsia" w:ascii="仿宋_GB2312" w:eastAsia="仿宋_GB2312" w:cs="仿宋_GB2312"/>
          <w:kern w:val="0"/>
          <w:sz w:val="32"/>
          <w:szCs w:val="32"/>
        </w:rPr>
        <w:t>，技术为先导，财务</w:t>
      </w:r>
      <w:r>
        <w:rPr>
          <w:rFonts w:hint="eastAsia" w:ascii="仿宋_GB2312" w:eastAsia="仿宋_GB2312" w:cs="宋体"/>
          <w:kern w:val="0"/>
          <w:sz w:val="32"/>
          <w:szCs w:val="32"/>
        </w:rPr>
        <w:t>溯</w:t>
      </w:r>
      <w:r>
        <w:rPr>
          <w:rFonts w:hint="eastAsia" w:ascii="仿宋_GB2312" w:eastAsia="仿宋_GB2312" w:cs="仿宋_GB2312"/>
          <w:kern w:val="0"/>
          <w:sz w:val="32"/>
          <w:szCs w:val="32"/>
        </w:rPr>
        <w:t>源</w:t>
      </w:r>
      <w:r>
        <w:rPr>
          <w:rFonts w:hint="eastAsia" w:ascii="仿宋_GB2312" w:eastAsia="仿宋_GB2312" w:cs="宋体"/>
          <w:kern w:val="0"/>
          <w:sz w:val="32"/>
          <w:szCs w:val="32"/>
        </w:rPr>
        <w:t>归</w:t>
      </w:r>
      <w:r>
        <w:rPr>
          <w:rFonts w:hint="eastAsia" w:ascii="仿宋_GB2312" w:eastAsia="仿宋_GB2312" w:cs="仿宋_GB2312"/>
          <w:kern w:val="0"/>
          <w:sz w:val="32"/>
          <w:szCs w:val="32"/>
        </w:rPr>
        <w:t>集</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服务方式，</w:t>
      </w:r>
      <w:r>
        <w:rPr>
          <w:rFonts w:hint="eastAsia" w:ascii="仿宋_GB2312" w:eastAsia="仿宋_GB2312" w:cs="宋体"/>
          <w:kern w:val="0"/>
          <w:sz w:val="32"/>
          <w:szCs w:val="32"/>
        </w:rPr>
        <w:t>依托</w:t>
      </w:r>
      <w:r>
        <w:rPr>
          <w:rFonts w:hint="eastAsia" w:ascii="仿宋_GB2312" w:eastAsia="仿宋_GB2312" w:cs="仿宋_GB2312"/>
          <w:kern w:val="0"/>
          <w:sz w:val="32"/>
          <w:szCs w:val="32"/>
        </w:rPr>
        <w:t>自主研发的</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研发项目（费用）综合管理</w:t>
      </w:r>
      <w:r>
        <w:rPr>
          <w:rFonts w:hint="eastAsia" w:ascii="仿宋_GB2312" w:eastAsia="仿宋_GB2312" w:cs="宋体"/>
          <w:kern w:val="0"/>
          <w:sz w:val="32"/>
          <w:szCs w:val="32"/>
        </w:rPr>
        <w:t>线</w:t>
      </w:r>
      <w:r>
        <w:rPr>
          <w:rFonts w:hint="eastAsia" w:ascii="仿宋_GB2312" w:eastAsia="仿宋_GB2312" w:cs="仿宋_GB2312"/>
          <w:kern w:val="0"/>
          <w:sz w:val="32"/>
          <w:szCs w:val="32"/>
        </w:rPr>
        <w:t>上平台</w:t>
      </w:r>
      <w:r>
        <w:rPr>
          <w:rFonts w:hint="eastAsia" w:ascii="仿宋_GB2312" w:eastAsia="仿宋_GB2312" w:cs="TimesNewRomanPSMT"/>
          <w:kern w:val="0"/>
          <w:sz w:val="32"/>
          <w:szCs w:val="32"/>
        </w:rPr>
        <w:t>”</w:t>
      </w:r>
      <w:r>
        <w:rPr>
          <w:rFonts w:hint="eastAsia" w:ascii="仿宋_GB2312" w:eastAsia="仿宋_GB2312" w:cs="仿宋_GB2312"/>
          <w:kern w:val="0"/>
          <w:sz w:val="32"/>
          <w:szCs w:val="32"/>
        </w:rPr>
        <w:t>及《研发项目（费用）服务标准》，帮助企业从研发立项源头挖掘，并完</w:t>
      </w:r>
      <w:r>
        <w:rPr>
          <w:rFonts w:hint="eastAsia" w:ascii="仿宋_GB2312" w:eastAsia="仿宋_GB2312" w:cs="宋体"/>
          <w:kern w:val="0"/>
          <w:sz w:val="32"/>
          <w:szCs w:val="32"/>
        </w:rPr>
        <w:t>善</w:t>
      </w:r>
      <w:r>
        <w:rPr>
          <w:rFonts w:hint="eastAsia" w:ascii="仿宋_GB2312" w:eastAsia="仿宋_GB2312" w:cs="仿宋_GB2312"/>
          <w:kern w:val="0"/>
          <w:sz w:val="32"/>
          <w:szCs w:val="32"/>
        </w:rPr>
        <w:t>研发过程证据链支撑资料，建立生态化的研发项目（费用）正向管理体系，在最大化合规享</w:t>
      </w:r>
      <w:r>
        <w:rPr>
          <w:rFonts w:hint="eastAsia" w:ascii="仿宋_GB2312" w:eastAsia="仿宋_GB2312" w:cs="宋体"/>
          <w:kern w:val="0"/>
          <w:sz w:val="32"/>
          <w:szCs w:val="32"/>
        </w:rPr>
        <w:t>受</w:t>
      </w:r>
      <w:r>
        <w:rPr>
          <w:rFonts w:hint="eastAsia" w:ascii="仿宋_GB2312" w:eastAsia="仿宋_GB2312" w:cs="仿宋_GB2312"/>
          <w:kern w:val="0"/>
          <w:sz w:val="32"/>
          <w:szCs w:val="32"/>
        </w:rPr>
        <w:t>研发费用加计扣除税收优惠政策，为企业高新技术企业认定及上市奠定</w:t>
      </w:r>
      <w:r>
        <w:rPr>
          <w:rFonts w:hint="eastAsia" w:ascii="仿宋_GB2312" w:eastAsia="仿宋_GB2312" w:cs="宋体"/>
          <w:kern w:val="0"/>
          <w:sz w:val="32"/>
          <w:szCs w:val="32"/>
        </w:rPr>
        <w:t>坚</w:t>
      </w:r>
      <w:r>
        <w:rPr>
          <w:rFonts w:hint="eastAsia" w:ascii="仿宋_GB2312" w:eastAsia="仿宋_GB2312" w:cs="仿宋_GB2312"/>
          <w:kern w:val="0"/>
          <w:sz w:val="32"/>
          <w:szCs w:val="32"/>
        </w:rPr>
        <w:t>实基础。</w:t>
      </w:r>
    </w:p>
    <w:p>
      <w:pPr>
        <w:autoSpaceDE w:val="0"/>
        <w:autoSpaceDN w:val="0"/>
        <w:adjustRightInd w:val="0"/>
        <w:spacing w:line="58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公司先后被认定为国家高新技术企业、国家中小企业公共服务示范平台，并荣获全国生产力促进（服务贡献）奖等荣誉称号。</w:t>
      </w:r>
      <w:r>
        <w:rPr>
          <w:rFonts w:hint="eastAsia" w:ascii="仿宋_GB2312" w:eastAsia="仿宋_GB2312" w:cs="TimesNewRomanPSMT"/>
          <w:kern w:val="0"/>
          <w:sz w:val="32"/>
          <w:szCs w:val="32"/>
        </w:rPr>
        <w:t xml:space="preserve">2022 </w:t>
      </w:r>
      <w:r>
        <w:rPr>
          <w:rFonts w:hint="eastAsia" w:ascii="仿宋_GB2312" w:eastAsia="仿宋_GB2312" w:cs="仿宋_GB2312"/>
          <w:kern w:val="0"/>
          <w:sz w:val="32"/>
          <w:szCs w:val="32"/>
        </w:rPr>
        <w:t>年</w:t>
      </w:r>
      <w:r>
        <w:rPr>
          <w:rFonts w:hint="eastAsia" w:ascii="仿宋_GB2312" w:eastAsia="仿宋_GB2312" w:cs="TimesNewRomanPSMT"/>
          <w:kern w:val="0"/>
          <w:sz w:val="32"/>
          <w:szCs w:val="32"/>
        </w:rPr>
        <w:t xml:space="preserve">11 </w:t>
      </w:r>
      <w:r>
        <w:rPr>
          <w:rFonts w:hint="eastAsia" w:ascii="仿宋_GB2312" w:eastAsia="仿宋_GB2312" w:cs="仿宋_GB2312"/>
          <w:kern w:val="0"/>
          <w:sz w:val="32"/>
          <w:szCs w:val="32"/>
        </w:rPr>
        <w:t>月，由安徽省科技厅组织的</w:t>
      </w:r>
      <w:r>
        <w:rPr>
          <w:rFonts w:hint="eastAsia" w:ascii="仿宋_GB2312" w:eastAsia="仿宋_GB2312" w:cs="TimesNewRomanPSMT"/>
          <w:kern w:val="0"/>
          <w:sz w:val="32"/>
          <w:szCs w:val="32"/>
        </w:rPr>
        <w:t xml:space="preserve">2022 </w:t>
      </w:r>
      <w:r>
        <w:rPr>
          <w:rFonts w:hint="eastAsia" w:ascii="仿宋_GB2312" w:eastAsia="仿宋_GB2312" w:cs="仿宋_GB2312"/>
          <w:kern w:val="0"/>
          <w:sz w:val="32"/>
          <w:szCs w:val="32"/>
        </w:rPr>
        <w:t>年度省科技中介服务机构工作绩效评价结果公布，公司综合排名位列全省第</w:t>
      </w:r>
      <w:r>
        <w:rPr>
          <w:rFonts w:hint="eastAsia" w:ascii="仿宋_GB2312" w:eastAsia="仿宋_GB2312" w:cs="宋体"/>
          <w:kern w:val="0"/>
          <w:sz w:val="32"/>
          <w:szCs w:val="32"/>
        </w:rPr>
        <w:t>六</w:t>
      </w:r>
      <w:r>
        <w:rPr>
          <w:rFonts w:hint="eastAsia" w:ascii="仿宋_GB2312" w:eastAsia="仿宋_GB2312" w:cs="仿宋_GB2312"/>
          <w:kern w:val="0"/>
          <w:sz w:val="32"/>
          <w:szCs w:val="32"/>
        </w:rPr>
        <w:t>（</w:t>
      </w:r>
      <w:r>
        <w:rPr>
          <w:rFonts w:hint="eastAsia" w:ascii="仿宋_GB2312" w:eastAsia="仿宋_GB2312" w:cs="宋体"/>
          <w:kern w:val="0"/>
          <w:sz w:val="32"/>
          <w:szCs w:val="32"/>
        </w:rPr>
        <w:t>皖南</w:t>
      </w:r>
      <w:r>
        <w:rPr>
          <w:rFonts w:hint="eastAsia" w:ascii="仿宋_GB2312" w:eastAsia="仿宋_GB2312" w:cs="仿宋_GB2312"/>
          <w:kern w:val="0"/>
          <w:sz w:val="32"/>
          <w:szCs w:val="32"/>
        </w:rPr>
        <w:t>地区第一）。</w:t>
      </w:r>
      <w:r>
        <w:rPr>
          <w:rFonts w:hint="eastAsia" w:ascii="仿宋_GB2312" w:eastAsia="仿宋_GB2312" w:cs="TimesNewRomanPSMT"/>
          <w:kern w:val="0"/>
          <w:sz w:val="32"/>
          <w:szCs w:val="32"/>
        </w:rPr>
        <w:t xml:space="preserve">2021 </w:t>
      </w:r>
      <w:r>
        <w:rPr>
          <w:rFonts w:hint="eastAsia" w:ascii="仿宋_GB2312" w:eastAsia="仿宋_GB2312" w:cs="仿宋_GB2312"/>
          <w:kern w:val="0"/>
          <w:sz w:val="32"/>
          <w:szCs w:val="32"/>
        </w:rPr>
        <w:t>年</w:t>
      </w:r>
      <w:r>
        <w:rPr>
          <w:rFonts w:hint="eastAsia" w:ascii="仿宋_GB2312" w:eastAsia="仿宋_GB2312" w:cs="TimesNewRomanPSMT"/>
          <w:kern w:val="0"/>
          <w:sz w:val="32"/>
          <w:szCs w:val="32"/>
        </w:rPr>
        <w:t xml:space="preserve">7 </w:t>
      </w:r>
      <w:r>
        <w:rPr>
          <w:rFonts w:hint="eastAsia" w:ascii="仿宋_GB2312" w:eastAsia="仿宋_GB2312" w:cs="仿宋_GB2312"/>
          <w:kern w:val="0"/>
          <w:sz w:val="32"/>
          <w:szCs w:val="32"/>
        </w:rPr>
        <w:t>月，公司被</w:t>
      </w:r>
      <w:r>
        <w:rPr>
          <w:rFonts w:hint="eastAsia" w:ascii="仿宋_GB2312" w:eastAsia="仿宋_GB2312" w:cs="宋体"/>
          <w:kern w:val="0"/>
          <w:sz w:val="32"/>
          <w:szCs w:val="32"/>
        </w:rPr>
        <w:t>纳</w:t>
      </w:r>
      <w:r>
        <w:rPr>
          <w:rFonts w:hint="eastAsia" w:ascii="仿宋_GB2312" w:eastAsia="仿宋_GB2312" w:cs="仿宋_GB2312"/>
          <w:kern w:val="0"/>
          <w:sz w:val="32"/>
          <w:szCs w:val="32"/>
        </w:rPr>
        <w:t>入芜湖市研发费用加计扣除服务机构名录库。</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hint="eastAsia" w:ascii="仿宋_GB2312" w:hAnsi="方正小标宋简体" w:eastAsia="仿宋_GB2312"/>
          <w:b/>
          <w:sz w:val="32"/>
          <w:szCs w:val="32"/>
        </w:rPr>
        <w:t>一、服务背景：</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ascii="仿宋_GB2312" w:hAnsi="方正小标宋简体" w:eastAsia="仿宋_GB2312"/>
          <w:sz w:val="32"/>
          <w:szCs w:val="32"/>
        </w:rPr>
        <w:t xml:space="preserve">2020 </w:t>
      </w:r>
      <w:r>
        <w:rPr>
          <w:rFonts w:hint="eastAsia" w:ascii="仿宋_GB2312" w:hAnsi="方正小标宋简体" w:eastAsia="仿宋_GB2312"/>
          <w:sz w:val="32"/>
          <w:szCs w:val="32"/>
        </w:rPr>
        <w:t>年疫情以来，企业经营与发展遭受巨大冲击。如何帮助走出疫情困境迎难破局谋发展，助企纾困成为各地方政府头等大事，芜湖立足自身工业企业主要利润指标相对落后的现实，抓准痛点难点，对症下药开出的药方，实施“</w:t>
      </w:r>
      <w:r>
        <w:rPr>
          <w:rFonts w:ascii="仿宋_GB2312" w:hAnsi="方正小标宋简体" w:eastAsia="仿宋_GB2312"/>
          <w:sz w:val="32"/>
          <w:szCs w:val="32"/>
        </w:rPr>
        <w:t>1%</w:t>
      </w:r>
      <w:r>
        <w:rPr>
          <w:rFonts w:hint="eastAsia" w:ascii="仿宋_GB2312" w:hAnsi="方正小标宋简体" w:eastAsia="仿宋_GB2312"/>
          <w:sz w:val="32"/>
          <w:szCs w:val="32"/>
        </w:rPr>
        <w:t>工作法”。高景结合芜湖市“</w:t>
      </w:r>
      <w:r>
        <w:rPr>
          <w:rFonts w:ascii="仿宋_GB2312" w:hAnsi="方正小标宋简体" w:eastAsia="仿宋_GB2312"/>
          <w:sz w:val="32"/>
          <w:szCs w:val="32"/>
        </w:rPr>
        <w:t>1%</w:t>
      </w:r>
      <w:r>
        <w:rPr>
          <w:rFonts w:hint="eastAsia" w:ascii="仿宋_GB2312" w:hAnsi="方正小标宋简体" w:eastAsia="仿宋_GB2312"/>
          <w:sz w:val="32"/>
          <w:szCs w:val="32"/>
        </w:rPr>
        <w:t>工作法”，开展研发项目（费用）管理业务指导，针对企业研发项目管理过程中存在的研发项目立项不全面、费用归集不规范、业财融合瓶颈等痛点问题，通过项目挖掘、费用归集、税收优惠与风险控制闭环管理，实施企业研发管理标准化体系建设，规范企业研发费用管理，享受研发费用加计扣除的政策红利。</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我们服务的一家新能源汽车零部件制造企业，先后被认定为国家高新技术企业、安徽省专精特新中小企业，伴随新能源汽车产业发展及企业品牌效应提升，公司近几年营收呈倍增趋势，并开始筹划主板上市。但在企业日常研发管理过程中，存在政策理解不透彻、业财融合瓶颈以及缺乏标准化管理体系等痛点问题，担心内部的研发管理无法匹配企业高速发展需求，存在主管部门核查风险的同时，可能会影响到后续研发平台认定及上市的审核结果。</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hint="eastAsia" w:ascii="仿宋_GB2312" w:hAnsi="方正小标宋简体" w:eastAsia="仿宋_GB2312"/>
          <w:b/>
          <w:sz w:val="32"/>
          <w:szCs w:val="32"/>
        </w:rPr>
        <w:t>二、服务方式</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高景公司针对企业现阶段发展情况及需求，组建了一支</w:t>
      </w:r>
      <w:r>
        <w:rPr>
          <w:rFonts w:ascii="仿宋_GB2312" w:hAnsi="方正小标宋简体" w:eastAsia="仿宋_GB2312"/>
          <w:sz w:val="32"/>
          <w:szCs w:val="32"/>
        </w:rPr>
        <w:t xml:space="preserve">8 </w:t>
      </w:r>
      <w:r>
        <w:rPr>
          <w:rFonts w:hint="eastAsia" w:ascii="仿宋_GB2312" w:hAnsi="方正小标宋简体" w:eastAsia="仿宋_GB2312"/>
          <w:sz w:val="32"/>
          <w:szCs w:val="32"/>
        </w:rPr>
        <w:t>人的“科技</w:t>
      </w:r>
      <w:r>
        <w:rPr>
          <w:rFonts w:ascii="仿宋_GB2312" w:hAnsi="方正小标宋简体" w:eastAsia="仿宋_GB2312"/>
          <w:sz w:val="32"/>
          <w:szCs w:val="32"/>
        </w:rPr>
        <w:t>+</w:t>
      </w:r>
      <w:r>
        <w:rPr>
          <w:rFonts w:hint="eastAsia" w:ascii="仿宋_GB2312" w:hAnsi="方正小标宋简体" w:eastAsia="仿宋_GB2312"/>
          <w:sz w:val="32"/>
          <w:szCs w:val="32"/>
        </w:rPr>
        <w:t>财税”专业化服务团队，依托自主开发的“研发项目（费用）综合管理平台”，落实“健康诊断—项目挖掘—研发管理—体系优化—政策享受”全流程闭环服务，具体服务方式如下：</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第一步，通过查阅资料、会议沟通等方式，了解企业现有的研发活动立项、研发费用归集以及研发制度执行等相关情况，形成客制化的“诊断报告”，诊断现阶段存在的不规范、待提升之处，并给出完善建议。</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第二步，项目技术团队实地走访该企业的研发、试制、检测及生产场地，与技术人员深入沟通，全方面挖掘新产品、新技术、新工艺方面的原始技术创新研发活动，以及涉及信息化建设、设备装置提升、环境能源改善等方面的实质性改进研发活动，有效整合形成研发项目。</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第三步，高景与该企业建立“研发正向管理交互机制”，结合各项目研发内容及执行周期，合理划分各研发项目的人员、设备等要素，辅助项目执行人员日常做好研发材料领用存记录以及工时记录等支撑文件，并按月交付至财务部门，完成研发费用归集工作。</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第四步，围绕着该企业开发流程及行业属性，优化企业研发组织架构及研发项目（费用）体系流程，明确各部门在研发体系中的岗位职责及输出文件，帮助企业建立生态化的项目管理体系，有效预防和控制风险。</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第五步，形成年度完整的“研发项目（费用）留存备查资料”，结合实际研发费用归集情况，规范上报所得税汇算清缴、统计年报及高企年报等相关数据，合理合规享受加计扣除税收优惠。</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hint="eastAsia" w:ascii="仿宋_GB2312" w:hAnsi="方正小标宋简体" w:eastAsia="仿宋_GB2312"/>
          <w:b/>
          <w:sz w:val="32"/>
          <w:szCs w:val="32"/>
        </w:rPr>
        <w:t>三、服务成效</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ascii="仿宋_GB2312" w:hAnsi="方正小标宋简体" w:eastAsia="仿宋_GB2312"/>
          <w:bCs/>
          <w:sz w:val="32"/>
          <w:szCs w:val="32"/>
        </w:rPr>
        <w:t>1</w:t>
      </w:r>
      <w:r>
        <w:rPr>
          <w:rFonts w:hint="eastAsia" w:ascii="仿宋_GB2312" w:hAnsi="方正小标宋简体" w:eastAsia="仿宋_GB2312"/>
          <w:sz w:val="32"/>
          <w:szCs w:val="32"/>
        </w:rPr>
        <w:t>、深度挖掘研发活动，最大化归集研发费用</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之前企业存在研发活动挖掘不全面、研发周期划分不完整以及研发人员设备纳入不准确等痛点问题，高景服务团队通过沟通与实地走访，深度挖掘涉及工艺技术创新、装置结构创新方面的研发活动</w:t>
      </w:r>
      <w:r>
        <w:rPr>
          <w:rFonts w:ascii="仿宋_GB2312" w:hAnsi="方正小标宋简体" w:eastAsia="仿宋_GB2312"/>
          <w:sz w:val="32"/>
          <w:szCs w:val="32"/>
        </w:rPr>
        <w:t xml:space="preserve">6 </w:t>
      </w:r>
      <w:r>
        <w:rPr>
          <w:rFonts w:hint="eastAsia" w:ascii="仿宋_GB2312" w:hAnsi="方正小标宋简体" w:eastAsia="仿宋_GB2312"/>
          <w:sz w:val="32"/>
          <w:szCs w:val="32"/>
        </w:rPr>
        <w:t>项，结合各研发项目研究内容及开发周期，梳理试制区间参与的辅助人员、辅助设备及试制材料，确保研发项目应立尽立、研发费用应归尽归，满足企业营收高速增长下研发投入占比的要求。</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w:t>
      </w:r>
      <w:r>
        <w:rPr>
          <w:rFonts w:ascii="仿宋_GB2312" w:hAnsi="方正小标宋简体" w:eastAsia="仿宋_GB2312"/>
          <w:sz w:val="32"/>
          <w:szCs w:val="32"/>
        </w:rPr>
        <w:t xml:space="preserve">-2022 </w:t>
      </w:r>
      <w:r>
        <w:rPr>
          <w:rFonts w:hint="eastAsia" w:ascii="仿宋_GB2312" w:hAnsi="方正小标宋简体" w:eastAsia="仿宋_GB2312"/>
          <w:sz w:val="32"/>
          <w:szCs w:val="32"/>
        </w:rPr>
        <w:t>年合理归集研发费用总额</w:t>
      </w:r>
      <w:r>
        <w:rPr>
          <w:rFonts w:ascii="仿宋_GB2312" w:hAnsi="方正小标宋简体" w:eastAsia="仿宋_GB2312"/>
          <w:sz w:val="32"/>
          <w:szCs w:val="32"/>
        </w:rPr>
        <w:t xml:space="preserve">20500 </w:t>
      </w:r>
      <w:r>
        <w:rPr>
          <w:rFonts w:hint="eastAsia" w:ascii="仿宋_GB2312" w:hAnsi="方正小标宋简体" w:eastAsia="仿宋_GB2312"/>
          <w:sz w:val="32"/>
          <w:szCs w:val="32"/>
        </w:rPr>
        <w:t>万元左右，占当期营业收入比重约为</w:t>
      </w:r>
      <w:r>
        <w:rPr>
          <w:rFonts w:ascii="仿宋_GB2312" w:hAnsi="方正小标宋简体" w:eastAsia="仿宋_GB2312"/>
          <w:sz w:val="32"/>
          <w:szCs w:val="32"/>
        </w:rPr>
        <w:t>3.50%</w:t>
      </w:r>
      <w:r>
        <w:rPr>
          <w:rFonts w:hint="eastAsia" w:ascii="仿宋_GB2312" w:hAnsi="方正小标宋简体" w:eastAsia="仿宋_GB2312"/>
          <w:sz w:val="32"/>
          <w:szCs w:val="32"/>
        </w:rPr>
        <w:t>，享受研发费用加计扣除税收优惠合计约</w:t>
      </w:r>
      <w:r>
        <w:rPr>
          <w:rFonts w:ascii="仿宋_GB2312" w:hAnsi="方正小标宋简体" w:eastAsia="仿宋_GB2312"/>
          <w:sz w:val="32"/>
          <w:szCs w:val="32"/>
        </w:rPr>
        <w:t xml:space="preserve">850 </w:t>
      </w:r>
      <w:r>
        <w:rPr>
          <w:rFonts w:hint="eastAsia" w:ascii="仿宋_GB2312" w:hAnsi="方正小标宋简体" w:eastAsia="仿宋_GB2312"/>
          <w:sz w:val="32"/>
          <w:szCs w:val="32"/>
        </w:rPr>
        <w:t>万元。</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ascii="仿宋_GB2312" w:hAnsi="方正小标宋简体" w:eastAsia="仿宋_GB2312"/>
          <w:b/>
          <w:bCs/>
          <w:sz w:val="32"/>
          <w:szCs w:val="32"/>
        </w:rPr>
        <w:t>2</w:t>
      </w:r>
      <w:r>
        <w:rPr>
          <w:rFonts w:hint="eastAsia" w:ascii="仿宋_GB2312" w:hAnsi="方正小标宋简体" w:eastAsia="仿宋_GB2312"/>
          <w:b/>
          <w:sz w:val="32"/>
          <w:szCs w:val="32"/>
        </w:rPr>
        <w:t>、搭建规范的研发管理体系，解决内部业财融合瓶颈</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通过与企业建立“正向管理交互机制”，拟定了参与研发活动中涉及的研发、试制、检测、人事以及财务等部门的岗位工作职责及输入、输出文件，将研发费用归集融入到企业日常的研发项目管理中，优化内部研发组织架构，完善贴合企业实际的研发项目（费用）管理体系以及相关管理制度文件，搭建财务与技术之间的“沟通桥梁”，解决了企业内部业财沟通瓶颈难题。</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目前已形成优化后的研发组织架构及体系流程，企业已可内部推进规范的研发项目（费用）正向管理工作。</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ascii="仿宋_GB2312" w:hAnsi="方正小标宋简体" w:eastAsia="仿宋_GB2312"/>
          <w:b/>
          <w:bCs/>
          <w:sz w:val="32"/>
          <w:szCs w:val="32"/>
        </w:rPr>
        <w:t>3</w:t>
      </w:r>
      <w:r>
        <w:rPr>
          <w:rFonts w:hint="eastAsia" w:ascii="仿宋_GB2312" w:hAnsi="方正小标宋简体" w:eastAsia="仿宋_GB2312"/>
          <w:b/>
          <w:sz w:val="32"/>
          <w:szCs w:val="32"/>
        </w:rPr>
        <w:t>、提升企业创新能力水平，加速科技成果转化</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通过对研发项目（费用）正向管理，加强企业对研发项目成果及成果转化过程文件的整合与存档工作，并围绕着各研发项目关键技术与创新点，做好知识产权布局，实现对核心技术的有效保护，同时加速了科技成果转化效果。</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w:t>
      </w:r>
      <w:r>
        <w:rPr>
          <w:rFonts w:ascii="仿宋_GB2312" w:hAnsi="方正小标宋简体" w:eastAsia="仿宋_GB2312"/>
          <w:sz w:val="32"/>
          <w:szCs w:val="32"/>
        </w:rPr>
        <w:t xml:space="preserve">-2022 </w:t>
      </w:r>
      <w:r>
        <w:rPr>
          <w:rFonts w:hint="eastAsia" w:ascii="仿宋_GB2312" w:hAnsi="方正小标宋简体" w:eastAsia="仿宋_GB2312"/>
          <w:sz w:val="32"/>
          <w:szCs w:val="32"/>
        </w:rPr>
        <w:t>年，帮助企业挖掘创新点新申请发明专利</w:t>
      </w:r>
      <w:r>
        <w:rPr>
          <w:rFonts w:ascii="仿宋_GB2312" w:hAnsi="方正小标宋简体" w:eastAsia="仿宋_GB2312"/>
          <w:sz w:val="32"/>
          <w:szCs w:val="32"/>
        </w:rPr>
        <w:t xml:space="preserve">7 </w:t>
      </w:r>
      <w:r>
        <w:rPr>
          <w:rFonts w:hint="eastAsia" w:ascii="仿宋_GB2312" w:hAnsi="方正小标宋简体" w:eastAsia="仿宋_GB2312"/>
          <w:sz w:val="32"/>
          <w:szCs w:val="32"/>
        </w:rPr>
        <w:t>项、实用新型专利</w:t>
      </w:r>
      <w:r>
        <w:rPr>
          <w:rFonts w:ascii="仿宋_GB2312" w:hAnsi="方正小标宋简体" w:eastAsia="仿宋_GB2312"/>
          <w:sz w:val="32"/>
          <w:szCs w:val="32"/>
        </w:rPr>
        <w:t xml:space="preserve">5 </w:t>
      </w:r>
      <w:r>
        <w:rPr>
          <w:rFonts w:hint="eastAsia" w:ascii="仿宋_GB2312" w:hAnsi="方正小标宋简体" w:eastAsia="仿宋_GB2312"/>
          <w:sz w:val="32"/>
          <w:szCs w:val="32"/>
        </w:rPr>
        <w:t>项，转化新产品</w:t>
      </w:r>
      <w:r>
        <w:rPr>
          <w:rFonts w:ascii="仿宋_GB2312" w:hAnsi="方正小标宋简体" w:eastAsia="仿宋_GB2312"/>
          <w:sz w:val="32"/>
          <w:szCs w:val="32"/>
        </w:rPr>
        <w:t xml:space="preserve">7 </w:t>
      </w:r>
      <w:r>
        <w:rPr>
          <w:rFonts w:hint="eastAsia" w:ascii="仿宋_GB2312" w:hAnsi="方正小标宋简体" w:eastAsia="仿宋_GB2312"/>
          <w:sz w:val="32"/>
          <w:szCs w:val="32"/>
        </w:rPr>
        <w:t>项。</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hint="eastAsia" w:ascii="仿宋_GB2312" w:hAnsi="方正小标宋简体" w:eastAsia="仿宋_GB2312"/>
          <w:b/>
          <w:sz w:val="32"/>
          <w:szCs w:val="32"/>
        </w:rPr>
        <w:t>四、典型意义</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ascii="仿宋_GB2312" w:hAnsi="方正小标宋简体" w:eastAsia="仿宋_GB2312"/>
          <w:b/>
          <w:bCs/>
          <w:sz w:val="32"/>
          <w:szCs w:val="32"/>
        </w:rPr>
        <w:t>1</w:t>
      </w:r>
      <w:r>
        <w:rPr>
          <w:rFonts w:hint="eastAsia" w:ascii="仿宋_GB2312" w:hAnsi="方正小标宋简体" w:eastAsia="仿宋_GB2312"/>
          <w:b/>
          <w:sz w:val="32"/>
          <w:szCs w:val="32"/>
        </w:rPr>
        <w:t>、有助于提升区域内全社会研发支出额及强度</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安徽省及芜湖市“十四五”科技创新规划中，均对全社会研发经费支出比重、规模以上工业企业研发经费支出占营业收入比重、研发经费支出年均增长率以及每万人高价值发明专利拥有量等科技创新发展指标提出了明确的要求，本项服务的孵化与落地，将有效提升企业研发活动立项及研发费用归集的能力，提高研发支出金额及研发投入强度，激发区域内科技创新活力，助力“十四五”科技创新目标的实现。</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ascii="仿宋_GB2312" w:hAnsi="方正小标宋简体" w:eastAsia="仿宋_GB2312"/>
          <w:b/>
          <w:bCs/>
          <w:sz w:val="32"/>
          <w:szCs w:val="32"/>
        </w:rPr>
        <w:t>2</w:t>
      </w:r>
      <w:r>
        <w:rPr>
          <w:rFonts w:hint="eastAsia" w:ascii="仿宋_GB2312" w:hAnsi="方正小标宋简体" w:eastAsia="仿宋_GB2312"/>
          <w:b/>
          <w:sz w:val="32"/>
          <w:szCs w:val="32"/>
        </w:rPr>
        <w:t>、加速助推企业研发平台认定及成功上市</w:t>
      </w:r>
    </w:p>
    <w:p>
      <w:pPr>
        <w:autoSpaceDE w:val="0"/>
        <w:autoSpaceDN w:val="0"/>
        <w:adjustRightInd w:val="0"/>
        <w:spacing w:line="580" w:lineRule="exact"/>
        <w:ind w:firstLine="640" w:firstLineChars="200"/>
        <w:rPr>
          <w:rFonts w:ascii="仿宋_GB2312" w:hAnsi="方正小标宋简体" w:eastAsia="仿宋_GB2312"/>
          <w:sz w:val="32"/>
          <w:szCs w:val="32"/>
        </w:rPr>
      </w:pPr>
      <w:r>
        <w:rPr>
          <w:rFonts w:hint="eastAsia" w:ascii="仿宋_GB2312" w:hAnsi="方正小标宋简体" w:eastAsia="仿宋_GB2312"/>
          <w:sz w:val="32"/>
          <w:szCs w:val="32"/>
        </w:rPr>
        <w:t>通过帮助企业建立健全研发项目（费用）管理体系，规范费用过程管理，日常做好研发项目立项、科技成果转化、研发费用归集及对外科技合作等相关工作，提升研发支出强度，助力企业积极申请认定企业技术中心、工业设计中心等国家、省市科技创新平台，和国家高新技术企业存续期管理工作，并为后续上市工作提前布局。</w:t>
      </w:r>
    </w:p>
    <w:p>
      <w:pPr>
        <w:autoSpaceDE w:val="0"/>
        <w:autoSpaceDN w:val="0"/>
        <w:adjustRightInd w:val="0"/>
        <w:spacing w:line="580" w:lineRule="exact"/>
        <w:ind w:firstLine="643" w:firstLineChars="200"/>
        <w:rPr>
          <w:rFonts w:ascii="仿宋_GB2312" w:hAnsi="方正小标宋简体" w:eastAsia="仿宋_GB2312"/>
          <w:b/>
          <w:sz w:val="32"/>
          <w:szCs w:val="32"/>
        </w:rPr>
      </w:pPr>
      <w:r>
        <w:rPr>
          <w:rFonts w:ascii="仿宋_GB2312" w:hAnsi="方正小标宋简体" w:eastAsia="仿宋_GB2312"/>
          <w:b/>
          <w:bCs/>
          <w:sz w:val="32"/>
          <w:szCs w:val="32"/>
        </w:rPr>
        <w:t>3</w:t>
      </w:r>
      <w:r>
        <w:rPr>
          <w:rFonts w:hint="eastAsia" w:ascii="仿宋_GB2312" w:hAnsi="方正小标宋简体" w:eastAsia="仿宋_GB2312"/>
          <w:b/>
          <w:sz w:val="32"/>
          <w:szCs w:val="32"/>
        </w:rPr>
        <w:t>、成熟的服务标准及模式可面向全社会推广</w:t>
      </w:r>
    </w:p>
    <w:p>
      <w:pPr>
        <w:autoSpaceDE w:val="0"/>
        <w:autoSpaceDN w:val="0"/>
        <w:adjustRightInd w:val="0"/>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高景围绕此项服务已编制并备案企业标准《研发项目（费用）管理服务标准》，并搭建了“研发项目（费用）综合管理平台”，通过专业服务团队及全流程闭环管理的服务模式，可面向不同体量规模及行业属性的企业提供管理咨询、落地孵化等多种维度的服务模式，在解决企业研发项目痛点问题的同时，提升全社会研发管理水平及研发支出强度。</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eastAsia="宋体"/>
        <w:sz w:val="28"/>
        <w:szCs w:val="28"/>
      </w:rPr>
      <w:id w:val="23389714"/>
      <w:docPartObj>
        <w:docPartGallery w:val="autotext"/>
      </w:docPartObj>
    </w:sdtPr>
    <w:sdtEndPr>
      <w:rPr>
        <w:rFonts w:ascii="宋体" w:hAnsi="宋体" w:eastAsia="宋体"/>
        <w:sz w:val="28"/>
        <w:szCs w:val="28"/>
      </w:rPr>
    </w:sdtEndPr>
    <w:sdtContent>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8"/>
        <w:szCs w:val="28"/>
      </w:rPr>
      <w:id w:val="23389717"/>
      <w:docPartObj>
        <w:docPartGallery w:val="autotext"/>
      </w:docPartObj>
    </w:sdtPr>
    <w:sdtEndPr>
      <w:rPr>
        <w:rFonts w:asciiTheme="minorEastAsia" w:hAnsiTheme="minorEastAsia"/>
        <w:sz w:val="28"/>
        <w:szCs w:val="28"/>
      </w:rPr>
    </w:sdtEndPr>
    <w:sdtContent>
      <w:p>
        <w:pPr>
          <w:pStyle w:val="2"/>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xNGI4MTkwMDRmNTkzOTJkNWEzYWZhZTczMWVhMDQifQ=="/>
    <w:docVar w:name="KSO_WPS_MARK_KEY" w:val="862a6074-e9b5-4086-a404-d03e7f4931c0"/>
  </w:docVars>
  <w:rsids>
    <w:rsidRoot w:val="00396A00"/>
    <w:rsid w:val="002E2F04"/>
    <w:rsid w:val="0031334B"/>
    <w:rsid w:val="00396A00"/>
    <w:rsid w:val="004B278D"/>
    <w:rsid w:val="005D3CC9"/>
    <w:rsid w:val="3A01610E"/>
    <w:rsid w:val="6C236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2806</Words>
  <Characters>2848</Characters>
  <Lines>20</Lines>
  <Paragraphs>5</Paragraphs>
  <TotalTime>10</TotalTime>
  <ScaleCrop>false</ScaleCrop>
  <LinksUpToDate>false</LinksUpToDate>
  <CharactersWithSpaces>2866</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2023-02-24T06:41:00Z</dcterms:created>
  <dc:creator>PC</dc:creator>
  <cp:lastModifiedBy>Administrator</cp:lastModifiedBy>
  <dcterms:modified xsi:type="dcterms:W3CDTF">2023-03-03T03:11:34Z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428EFA05F9264ECC829F4D9326AF7007</vt:lpwstr>
  </property>
</Properties>
</file>