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640" w:rsidRDefault="00261640" w:rsidP="00261640">
      <w:pPr>
        <w:pStyle w:val="Default"/>
        <w:spacing w:line="580" w:lineRule="exact"/>
        <w:jc w:val="center"/>
        <w:rPr>
          <w:rFonts w:ascii="方正小标宋简体" w:eastAsia="方正小标宋简体" w:hAnsi="方正小标宋简体" w:hint="eastAsia"/>
          <w:sz w:val="44"/>
          <w:szCs w:val="44"/>
        </w:rPr>
      </w:pPr>
      <w:r w:rsidRPr="00261640">
        <w:rPr>
          <w:rFonts w:ascii="方正小标宋简体" w:eastAsia="方正小标宋简体" w:hAnsi="方正小标宋简体"/>
          <w:sz w:val="44"/>
          <w:szCs w:val="44"/>
        </w:rPr>
        <w:t>紫云英籽粒专用收获机械研发及测试服务项目</w:t>
      </w:r>
    </w:p>
    <w:p w:rsidR="00261640" w:rsidRDefault="00261640" w:rsidP="00261640">
      <w:pPr>
        <w:pStyle w:val="Default"/>
        <w:spacing w:line="580" w:lineRule="exact"/>
        <w:jc w:val="center"/>
        <w:rPr>
          <w:rFonts w:ascii="方正小标宋简体" w:eastAsia="方正小标宋简体" w:hAnsi="方正小标宋简体" w:hint="eastAsia"/>
          <w:sz w:val="44"/>
          <w:szCs w:val="44"/>
        </w:rPr>
      </w:pPr>
    </w:p>
    <w:p w:rsidR="00261640" w:rsidRP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hint="eastAsia"/>
          <w:sz w:val="32"/>
          <w:szCs w:val="32"/>
        </w:rPr>
        <w:t>安徽聚力创新项目管理有限公司是一家专注提供农业机械产品技术整体解决方案及项目信息服务商。服务内容包括农机产品与技术开发、造型设计、试制试验验证、制造工艺及工程开发、技术转移、知识产权、技术成果转化、创新成果推广、项目策划及申报、项目信息咨询及管理、会务服务、展览展示代理等，既具专业性，又具综合性的公共服务平台型企业。2020年、2021年已入库国家科技型中小企业,2021年获评芜湖市中小企业公共服务示范平台。</w:t>
      </w:r>
    </w:p>
    <w:p w:rsid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hint="eastAsia"/>
          <w:sz w:val="32"/>
          <w:szCs w:val="32"/>
        </w:rPr>
        <w:t>2019年，公司与原芜湖市三山区政府签订了《新兴产业发展服务中心》合作项目，旨在建立芜湖现代农业机械和高端制造产业集聚发展基地专业型战略新兴产业服务中心，协助基地开展人才引进、信息服务、招商引资、会展会务等；协助基地企业办理新产品推广鉴定申报、补贴资质申报、农机产品的国内、国际认证、出口资质认证、产品研发与技术升级、生产线技术改造、涉农项目分析与咨询评估、投融资对接和代理融资策划服务等业务。公司位于安徽省芜湖市三山经济开发区科技创业园区内，公司拥有农机领域产品研发设计及项目咨询管理专业团队，具备各类农机产品研发设计、试制、试验以及专业研发测试及生产资源，搭建园区及行业企业公共服务支持平台，已全面开展各类服务业务。</w:t>
      </w:r>
    </w:p>
    <w:p w:rsidR="00261640" w:rsidRDefault="00261640" w:rsidP="00261640">
      <w:pPr>
        <w:pStyle w:val="Default"/>
        <w:spacing w:line="580" w:lineRule="exact"/>
        <w:ind w:firstLineChars="200" w:firstLine="643"/>
        <w:jc w:val="both"/>
        <w:rPr>
          <w:rFonts w:ascii="仿宋_GB2312" w:eastAsia="仿宋_GB2312" w:hint="eastAsia"/>
          <w:b/>
          <w:sz w:val="32"/>
          <w:szCs w:val="32"/>
        </w:rPr>
      </w:pPr>
      <w:r>
        <w:rPr>
          <w:rFonts w:ascii="仿宋_GB2312" w:eastAsia="仿宋_GB2312" w:hint="eastAsia"/>
          <w:b/>
          <w:sz w:val="32"/>
          <w:szCs w:val="32"/>
        </w:rPr>
        <w:lastRenderedPageBreak/>
        <w:t>一、</w:t>
      </w:r>
      <w:r w:rsidRPr="00261640">
        <w:rPr>
          <w:rFonts w:ascii="仿宋_GB2312" w:eastAsia="仿宋_GB2312" w:hint="eastAsia"/>
          <w:b/>
          <w:sz w:val="32"/>
          <w:szCs w:val="32"/>
        </w:rPr>
        <w:t>服务背景</w:t>
      </w:r>
    </w:p>
    <w:p w:rsidR="00261640" w:rsidRPr="00261640" w:rsidRDefault="00261640" w:rsidP="00261640">
      <w:pPr>
        <w:pStyle w:val="Default"/>
        <w:spacing w:line="580" w:lineRule="exact"/>
        <w:ind w:firstLineChars="200" w:firstLine="640"/>
        <w:jc w:val="both"/>
        <w:rPr>
          <w:rFonts w:ascii="仿宋_GB2312" w:eastAsia="仿宋_GB2312"/>
          <w:sz w:val="32"/>
          <w:szCs w:val="32"/>
        </w:rPr>
      </w:pPr>
      <w:r w:rsidRPr="00261640">
        <w:rPr>
          <w:rFonts w:ascii="仿宋_GB2312" w:eastAsia="仿宋_GB2312" w:hint="eastAsia"/>
          <w:sz w:val="32"/>
          <w:szCs w:val="32"/>
        </w:rPr>
        <w:t>紫云英又名翘摇、红花草、草籽等，是我国南方稻区最主要种植的冬季豆科绿肥作物，为土壤培肥、优质米的生产提供保障。同时因其固氮能力强，利用效率高，可通过根瘤固氮，培肥土壤，实现固碳减排，减少土壤养分流失，在农田生态系统中对维持氮循环具有重要作用。项目的必要性和可行性——芜湖特色产业名片之一。种子是现代农业的“芯片”，中央强调了要打好种业翻身仗，开展种源“卡脖子”技术攻关。安徽省芜湖市南陵县是安徽省紫云英种植面积最大的区域。全县紫云英种植面积稳定在1.5万公顷左右，占水田面积40％以上，销售量占据全国市场的25%。南陵县为国家紫云英种子基地县,“南陵紫云英弋江籽”获国家农产品地理标志登记保护,“弋江籽”为中国驰名商标。紫云英销售于国内水稻主产区，并出口日本、韩国等国家，具备较高的社会与经济价值。紫云英种子籽粒收获季节在每年5月中旬，目前收获主要为人工采摘，效率低，人工成本高，劳动强度大，无法大面积集中收获作业；近些年逐步引入收获机械作业，效率有较大提升，但因缺少机械化作业技术规范，存在收获作业损失较大、籽粒清洁度低等问题，对亩产收益造成较大影响。南陵县农业装备服务中心为解决当地</w:t>
      </w:r>
      <w:r w:rsidRPr="00261640">
        <w:rPr>
          <w:rFonts w:ascii="仿宋_GB2312" w:eastAsia="仿宋_GB2312"/>
          <w:sz w:val="32"/>
          <w:szCs w:val="32"/>
        </w:rPr>
        <w:t>紫云英种子籽粒收获难、损失高等问题，同时积极响应我市</w:t>
      </w:r>
      <w:r w:rsidRPr="00261640">
        <w:rPr>
          <w:rFonts w:ascii="仿宋_GB2312" w:eastAsia="仿宋_GB2312"/>
          <w:sz w:val="32"/>
          <w:szCs w:val="32"/>
        </w:rPr>
        <w:t>“</w:t>
      </w:r>
      <w:r w:rsidRPr="00261640">
        <w:rPr>
          <w:rFonts w:ascii="仿宋_GB2312" w:eastAsia="仿宋_GB2312"/>
          <w:sz w:val="32"/>
          <w:szCs w:val="32"/>
        </w:rPr>
        <w:t>两强一增</w:t>
      </w:r>
      <w:r w:rsidRPr="00261640">
        <w:rPr>
          <w:rFonts w:ascii="仿宋_GB2312" w:eastAsia="仿宋_GB2312"/>
          <w:sz w:val="32"/>
          <w:szCs w:val="32"/>
        </w:rPr>
        <w:t>”</w:t>
      </w:r>
      <w:r w:rsidRPr="00261640">
        <w:rPr>
          <w:rFonts w:ascii="仿宋_GB2312" w:eastAsia="仿宋_GB2312"/>
          <w:sz w:val="32"/>
          <w:szCs w:val="32"/>
        </w:rPr>
        <w:t>政策，启动本项目。</w:t>
      </w:r>
    </w:p>
    <w:p w:rsidR="00261640" w:rsidRDefault="00261640" w:rsidP="00261640">
      <w:pPr>
        <w:pStyle w:val="Default"/>
        <w:spacing w:line="580" w:lineRule="exact"/>
        <w:ind w:firstLineChars="200" w:firstLine="643"/>
        <w:jc w:val="both"/>
        <w:rPr>
          <w:rFonts w:ascii="仿宋_GB2312" w:eastAsia="仿宋_GB2312" w:hint="eastAsia"/>
          <w:b/>
          <w:sz w:val="32"/>
          <w:szCs w:val="32"/>
        </w:rPr>
      </w:pPr>
      <w:r>
        <w:rPr>
          <w:rFonts w:ascii="仿宋_GB2312" w:eastAsia="仿宋_GB2312" w:hint="eastAsia"/>
          <w:b/>
          <w:sz w:val="32"/>
          <w:szCs w:val="32"/>
        </w:rPr>
        <w:t>二、</w:t>
      </w:r>
      <w:r w:rsidRPr="00261640">
        <w:rPr>
          <w:rFonts w:ascii="仿宋_GB2312" w:eastAsia="仿宋_GB2312"/>
          <w:b/>
          <w:sz w:val="32"/>
          <w:szCs w:val="32"/>
        </w:rPr>
        <w:t>服务方式</w:t>
      </w:r>
    </w:p>
    <w:p w:rsid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sz w:val="32"/>
          <w:szCs w:val="32"/>
        </w:rPr>
        <w:lastRenderedPageBreak/>
        <w:t>安徽聚力与南陵县农业装备服务中心、南陵弋丰村紫云英农业专业合作社联合技术攻关，由三方共同签署技术开发及样机试制测试协议。由安徽聚力创新项目管理有限公司成立针对本项目的专题项目机构，项目经理由我司王喜恩总经理亲自挂帅，包含技术开发组、制造工程组、供应链开发组、质量控制组、测试服务组、后勤保障组等，由安徽聚力创新项目管理有限公司牵头，南陵县农业装备服务中心、南陵弋丰村紫云英农业专业合作社配合，先后完成市场用户调研、总体方案设计、分模块及总成开发、零部件工程图设计、零部件加工制作、整机试装及静态调试、模拟工况及实际工况测试、现场收获效果对比测试及验收评审、地方标准及知识产权申报等。</w:t>
      </w:r>
    </w:p>
    <w:p w:rsidR="00261640" w:rsidRDefault="00261640" w:rsidP="00261640">
      <w:pPr>
        <w:pStyle w:val="Default"/>
        <w:spacing w:line="580" w:lineRule="exact"/>
        <w:ind w:firstLineChars="200" w:firstLine="643"/>
        <w:jc w:val="both"/>
        <w:rPr>
          <w:rFonts w:ascii="仿宋_GB2312" w:eastAsia="仿宋_GB2312" w:hint="eastAsia"/>
          <w:sz w:val="32"/>
          <w:szCs w:val="32"/>
        </w:rPr>
      </w:pPr>
      <w:r>
        <w:rPr>
          <w:rFonts w:ascii="仿宋_GB2312" w:eastAsia="仿宋_GB2312" w:hint="eastAsia"/>
          <w:b/>
          <w:sz w:val="32"/>
          <w:szCs w:val="32"/>
        </w:rPr>
        <w:t>三、</w:t>
      </w:r>
      <w:r w:rsidRPr="00261640">
        <w:rPr>
          <w:rFonts w:ascii="仿宋_GB2312" w:eastAsia="仿宋_GB2312"/>
          <w:b/>
          <w:sz w:val="32"/>
          <w:szCs w:val="32"/>
        </w:rPr>
        <w:t>服务成效</w:t>
      </w:r>
    </w:p>
    <w:p w:rsid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sz w:val="32"/>
          <w:szCs w:val="32"/>
        </w:rPr>
        <w:t>截止2022年12月，已完成产品整机设计、样机试制、田间验证等，并在南陵县弋丰村通过专家现场验收，经过专家组现场检测，主要验收意见为：</w:t>
      </w:r>
    </w:p>
    <w:p w:rsid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sz w:val="32"/>
          <w:szCs w:val="32"/>
        </w:rPr>
        <w:t>1、项目验收田块、验收方案及各项准备工作符合验收条件。</w:t>
      </w:r>
    </w:p>
    <w:p w:rsidR="00261640" w:rsidRPr="00261640" w:rsidRDefault="00261640" w:rsidP="00261640">
      <w:pPr>
        <w:pStyle w:val="Default"/>
        <w:spacing w:line="580" w:lineRule="exact"/>
        <w:ind w:firstLineChars="200" w:firstLine="640"/>
        <w:jc w:val="both"/>
        <w:rPr>
          <w:rFonts w:ascii="仿宋_GB2312" w:eastAsia="仿宋_GB2312"/>
          <w:sz w:val="32"/>
          <w:szCs w:val="32"/>
        </w:rPr>
      </w:pPr>
      <w:r w:rsidRPr="00261640">
        <w:rPr>
          <w:rFonts w:ascii="仿宋_GB2312" w:eastAsia="仿宋_GB2312"/>
          <w:sz w:val="32"/>
          <w:szCs w:val="32"/>
        </w:rPr>
        <w:t>2、项目要求交付的2台紫云英专用收割机现场作业性能满足项目要求，其中籽粒总损失率</w:t>
      </w:r>
      <w:r w:rsidRPr="00261640">
        <w:rPr>
          <w:rFonts w:ascii="仿宋_GB2312" w:eastAsia="仿宋_GB2312"/>
          <w:sz w:val="32"/>
          <w:szCs w:val="32"/>
        </w:rPr>
        <w:t>≤</w:t>
      </w:r>
      <w:r w:rsidRPr="00261640">
        <w:rPr>
          <w:rFonts w:ascii="仿宋_GB2312" w:eastAsia="仿宋_GB2312"/>
          <w:sz w:val="32"/>
          <w:szCs w:val="32"/>
        </w:rPr>
        <w:t>12%，含杂率</w:t>
      </w:r>
      <w:r w:rsidRPr="00261640">
        <w:rPr>
          <w:rFonts w:ascii="仿宋_GB2312" w:eastAsia="仿宋_GB2312"/>
          <w:sz w:val="32"/>
          <w:szCs w:val="32"/>
        </w:rPr>
        <w:t>≤</w:t>
      </w:r>
      <w:r w:rsidRPr="00261640">
        <w:rPr>
          <w:rFonts w:ascii="仿宋_GB2312" w:eastAsia="仿宋_GB2312"/>
          <w:sz w:val="32"/>
          <w:szCs w:val="32"/>
        </w:rPr>
        <w:t>8%。</w:t>
      </w:r>
    </w:p>
    <w:p w:rsid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sz w:val="32"/>
          <w:szCs w:val="32"/>
        </w:rPr>
        <w:t>3、该项目技术创新性强，有效解决了紫云英种子籽粒机械收获损失率大，含杂率高的问题，市场前景良好。同时通过机械部件和参数调整，能实现水稻、小麦多种作物兼收，</w:t>
      </w:r>
      <w:r w:rsidRPr="00261640">
        <w:rPr>
          <w:rFonts w:ascii="仿宋_GB2312" w:eastAsia="仿宋_GB2312"/>
          <w:sz w:val="32"/>
          <w:szCs w:val="32"/>
        </w:rPr>
        <w:lastRenderedPageBreak/>
        <w:t>为用户创收。</w:t>
      </w:r>
    </w:p>
    <w:p w:rsidR="00261640" w:rsidRPr="00261640" w:rsidRDefault="00261640" w:rsidP="00261640">
      <w:pPr>
        <w:pStyle w:val="Default"/>
        <w:spacing w:line="580" w:lineRule="exact"/>
        <w:ind w:firstLineChars="200" w:firstLine="640"/>
        <w:jc w:val="both"/>
        <w:rPr>
          <w:rFonts w:ascii="仿宋_GB2312" w:eastAsia="仿宋_GB2312"/>
          <w:sz w:val="32"/>
          <w:szCs w:val="32"/>
        </w:rPr>
      </w:pPr>
      <w:r w:rsidRPr="00261640">
        <w:rPr>
          <w:rFonts w:ascii="仿宋_GB2312" w:eastAsia="仿宋_GB2312"/>
          <w:sz w:val="32"/>
          <w:szCs w:val="32"/>
        </w:rPr>
        <w:t>该产品为完全自主知识产权产品，且为全球首创，告别紫云英种子籽粒没有专用收割机的历史，产品采用国内名优涡轮增压发动机，马力大、油耗低，动力储备足。配置割台、输送反转装置，减少极端情况下堵塞清理时间。采用自主知识产权的纵轴流脱粒滚筒，脱粒能力强，损失率更低，有效减少堵塞困扰。采用上层可调式双层振动筛+风扇+复脱组合式清选装置，清选能力强，清洁度高。配置270度球面旋转长卸籽（粮）筒，大幅提升卸籽（粮）效率。可选配小麦、水稻、油菜收割、清选、切碎装置，实现一机多用。</w:t>
      </w:r>
    </w:p>
    <w:p w:rsidR="00261640" w:rsidRPr="00261640" w:rsidRDefault="00261640" w:rsidP="00261640">
      <w:pPr>
        <w:pStyle w:val="Default"/>
        <w:spacing w:line="580" w:lineRule="exact"/>
        <w:ind w:firstLineChars="200" w:firstLine="640"/>
        <w:jc w:val="both"/>
        <w:rPr>
          <w:rFonts w:ascii="仿宋_GB2312" w:eastAsia="仿宋_GB2312" w:hint="eastAsia"/>
          <w:sz w:val="32"/>
          <w:szCs w:val="32"/>
        </w:rPr>
      </w:pPr>
      <w:r w:rsidRPr="00261640">
        <w:rPr>
          <w:rFonts w:ascii="仿宋_GB2312" w:eastAsia="仿宋_GB2312"/>
          <w:sz w:val="32"/>
          <w:szCs w:val="32"/>
        </w:rPr>
        <w:t>综上，紫云英种子籽粒专用收割机在实际作业效率、损失率、含杂率方面均达到项目要求各项指标值，并远优于粮食（通用）收割机和传统人工收割方式，并且可以实现一机多用，减少农民重复投入，为农民实现增产增收。目前该产品已在南陵县弋江镇投入紫云英种子籽粒收获作业，获得种植户的广泛好评和追捧。</w:t>
      </w:r>
    </w:p>
    <w:p w:rsidR="00261640" w:rsidRDefault="00261640" w:rsidP="00261640">
      <w:pPr>
        <w:pStyle w:val="Default"/>
        <w:spacing w:line="580" w:lineRule="exact"/>
        <w:ind w:firstLineChars="200" w:firstLine="643"/>
        <w:jc w:val="both"/>
        <w:rPr>
          <w:rFonts w:ascii="仿宋_GB2312" w:eastAsia="仿宋_GB2312" w:hint="eastAsia"/>
          <w:b/>
          <w:sz w:val="32"/>
          <w:szCs w:val="32"/>
        </w:rPr>
      </w:pPr>
      <w:r>
        <w:rPr>
          <w:rFonts w:ascii="仿宋_GB2312" w:eastAsia="仿宋_GB2312" w:hint="eastAsia"/>
          <w:b/>
          <w:sz w:val="32"/>
          <w:szCs w:val="32"/>
        </w:rPr>
        <w:t>四、</w:t>
      </w:r>
      <w:r w:rsidRPr="00261640">
        <w:rPr>
          <w:rFonts w:ascii="仿宋_GB2312" w:eastAsia="仿宋_GB2312"/>
          <w:b/>
          <w:sz w:val="32"/>
          <w:szCs w:val="32"/>
        </w:rPr>
        <w:t>典型意义</w:t>
      </w:r>
    </w:p>
    <w:p w:rsidR="00261640" w:rsidRPr="00261640" w:rsidRDefault="00261640" w:rsidP="00261640">
      <w:pPr>
        <w:pStyle w:val="Default"/>
        <w:spacing w:line="580" w:lineRule="exact"/>
        <w:ind w:firstLineChars="200" w:firstLine="640"/>
        <w:jc w:val="both"/>
        <w:rPr>
          <w:rFonts w:ascii="仿宋_GB2312" w:eastAsia="仿宋_GB2312"/>
          <w:sz w:val="32"/>
          <w:szCs w:val="32"/>
        </w:rPr>
      </w:pPr>
      <w:r w:rsidRPr="00261640">
        <w:rPr>
          <w:rFonts w:ascii="仿宋_GB2312" w:eastAsia="仿宋_GB2312"/>
          <w:sz w:val="32"/>
          <w:szCs w:val="32"/>
        </w:rPr>
        <w:t>本项目实现了紫云英收获方式由传统人工收获方式向收获机械化作业技术方式的进步与跨越，在充分分析、归纳、总结产业特点的基础上，采用创新型工业化技术，推进紫云英产业的提质升级，为产业机械化发展提供强有力的规范与保障，从而进一步推动紫云英产业推广与布局。通过专用机械推广并投入使用，减少作业劳动强度和实际投入，可以有</w:t>
      </w:r>
      <w:r w:rsidRPr="00261640">
        <w:rPr>
          <w:rFonts w:ascii="仿宋_GB2312" w:eastAsia="仿宋_GB2312"/>
          <w:sz w:val="32"/>
          <w:szCs w:val="32"/>
        </w:rPr>
        <w:lastRenderedPageBreak/>
        <w:t>效促进我市紫云英推广种植，扩大紫云英种植面积，实现我市耕地化肥减施、耕地质量生态化改善，推广紫云英乡村旅游，促进农业人口收入增长，打造绿色循环经济，从而进一步提升芜湖紫云英品牌影响力。通过大力发展紫云英产业全程机械化，借助芜湖现代农机基地农机企业在农机装备研发、生产方面优势，</w:t>
      </w:r>
    </w:p>
    <w:p w:rsidR="00973AB2" w:rsidRPr="00261640" w:rsidRDefault="00973AB2" w:rsidP="00261640">
      <w:pPr>
        <w:spacing w:line="580" w:lineRule="exact"/>
        <w:rPr>
          <w:rFonts w:ascii="仿宋_GB2312" w:eastAsia="仿宋_GB2312" w:hAnsi="FangSong" w:cs="FangSong"/>
          <w:color w:val="000000"/>
          <w:kern w:val="0"/>
          <w:sz w:val="32"/>
          <w:szCs w:val="32"/>
        </w:rPr>
      </w:pPr>
    </w:p>
    <w:sectPr w:rsidR="00973AB2" w:rsidRPr="00261640" w:rsidSect="00261640">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AB2" w:rsidRDefault="00973AB2" w:rsidP="00261640">
      <w:r>
        <w:separator/>
      </w:r>
    </w:p>
  </w:endnote>
  <w:endnote w:type="continuationSeparator" w:id="1">
    <w:p w:rsidR="00973AB2" w:rsidRDefault="00973AB2" w:rsidP="002616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Fang Song"/>
    <w:panose1 w:val="00000000000000000000"/>
    <w:charset w:val="00"/>
    <w:family w:val="swiss"/>
    <w:notTrueType/>
    <w:pitch w:val="default"/>
    <w:sig w:usb0="00000003" w:usb1="080E0000" w:usb2="00000010" w:usb3="00000000" w:csb0="00040001" w:csb1="00000000"/>
  </w:font>
  <w:font w:name="方正小标宋简体">
    <w:panose1 w:val="00000600000000000000"/>
    <w:charset w:val="86"/>
    <w:family w:val="auto"/>
    <w:pitch w:val="variable"/>
    <w:sig w:usb0="800002BF" w:usb1="184F6CF8" w:usb2="00000012" w:usb3="00000000" w:csb0="0016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3726679"/>
      <w:docPartObj>
        <w:docPartGallery w:val="Page Numbers (Bottom of Page)"/>
        <w:docPartUnique/>
      </w:docPartObj>
    </w:sdtPr>
    <w:sdtContent>
      <w:p w:rsidR="00261640" w:rsidRPr="00261640" w:rsidRDefault="00261640">
        <w:pPr>
          <w:pStyle w:val="a4"/>
          <w:rPr>
            <w:rFonts w:asciiTheme="minorEastAsia" w:hAnsiTheme="minorEastAsia"/>
            <w:sz w:val="28"/>
            <w:szCs w:val="28"/>
          </w:rPr>
        </w:pPr>
        <w:r w:rsidRPr="00261640">
          <w:rPr>
            <w:rFonts w:asciiTheme="minorEastAsia" w:hAnsiTheme="minorEastAsia"/>
            <w:sz w:val="28"/>
            <w:szCs w:val="28"/>
          </w:rPr>
          <w:fldChar w:fldCharType="begin"/>
        </w:r>
        <w:r w:rsidRPr="00261640">
          <w:rPr>
            <w:rFonts w:asciiTheme="minorEastAsia" w:hAnsiTheme="minorEastAsia"/>
            <w:sz w:val="28"/>
            <w:szCs w:val="28"/>
          </w:rPr>
          <w:instrText xml:space="preserve"> PAGE   \* MERGEFORMAT </w:instrText>
        </w:r>
        <w:r w:rsidRPr="00261640">
          <w:rPr>
            <w:rFonts w:asciiTheme="minorEastAsia" w:hAnsiTheme="minorEastAsia"/>
            <w:sz w:val="28"/>
            <w:szCs w:val="28"/>
          </w:rPr>
          <w:fldChar w:fldCharType="separate"/>
        </w:r>
        <w:r w:rsidRPr="00261640">
          <w:rPr>
            <w:rFonts w:asciiTheme="minorEastAsia" w:hAnsiTheme="minorEastAsia"/>
            <w:noProof/>
            <w:sz w:val="28"/>
            <w:szCs w:val="28"/>
            <w:lang w:val="zh-CN"/>
          </w:rPr>
          <w:t>-</w:t>
        </w:r>
        <w:r>
          <w:rPr>
            <w:rFonts w:asciiTheme="minorEastAsia" w:hAnsiTheme="minorEastAsia"/>
            <w:noProof/>
            <w:sz w:val="28"/>
            <w:szCs w:val="28"/>
          </w:rPr>
          <w:t xml:space="preserve"> 2 -</w:t>
        </w:r>
        <w:r w:rsidRPr="00261640">
          <w:rPr>
            <w:rFonts w:asciiTheme="minorEastAsia" w:hAnsiTheme="minorEastAsia"/>
            <w:sz w:val="28"/>
            <w:szCs w:val="28"/>
          </w:rPr>
          <w:fldChar w:fldCharType="end"/>
        </w:r>
      </w:p>
    </w:sdtContent>
  </w:sdt>
  <w:p w:rsidR="00261640" w:rsidRDefault="002616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3726676"/>
      <w:docPartObj>
        <w:docPartGallery w:val="Page Numbers (Bottom of Page)"/>
        <w:docPartUnique/>
      </w:docPartObj>
    </w:sdtPr>
    <w:sdtContent>
      <w:p w:rsidR="00261640" w:rsidRPr="00261640" w:rsidRDefault="00261640">
        <w:pPr>
          <w:pStyle w:val="a4"/>
          <w:jc w:val="right"/>
          <w:rPr>
            <w:rFonts w:asciiTheme="minorEastAsia" w:hAnsiTheme="minorEastAsia"/>
            <w:sz w:val="28"/>
            <w:szCs w:val="28"/>
          </w:rPr>
        </w:pPr>
        <w:r w:rsidRPr="00261640">
          <w:rPr>
            <w:rFonts w:asciiTheme="minorEastAsia" w:hAnsiTheme="minorEastAsia"/>
            <w:sz w:val="28"/>
            <w:szCs w:val="28"/>
          </w:rPr>
          <w:fldChar w:fldCharType="begin"/>
        </w:r>
        <w:r w:rsidRPr="00261640">
          <w:rPr>
            <w:rFonts w:asciiTheme="minorEastAsia" w:hAnsiTheme="minorEastAsia"/>
            <w:sz w:val="28"/>
            <w:szCs w:val="28"/>
          </w:rPr>
          <w:instrText xml:space="preserve"> PAGE   \* MERGEFORMAT </w:instrText>
        </w:r>
        <w:r w:rsidRPr="00261640">
          <w:rPr>
            <w:rFonts w:asciiTheme="minorEastAsia" w:hAnsiTheme="minorEastAsia"/>
            <w:sz w:val="28"/>
            <w:szCs w:val="28"/>
          </w:rPr>
          <w:fldChar w:fldCharType="separate"/>
        </w:r>
        <w:r w:rsidRPr="00261640">
          <w:rPr>
            <w:rFonts w:asciiTheme="minorEastAsia" w:hAnsiTheme="minorEastAsia"/>
            <w:noProof/>
            <w:sz w:val="28"/>
            <w:szCs w:val="28"/>
            <w:lang w:val="zh-CN"/>
          </w:rPr>
          <w:t>-</w:t>
        </w:r>
        <w:r>
          <w:rPr>
            <w:rFonts w:asciiTheme="minorEastAsia" w:hAnsiTheme="minorEastAsia"/>
            <w:noProof/>
            <w:sz w:val="28"/>
            <w:szCs w:val="28"/>
          </w:rPr>
          <w:t xml:space="preserve"> 1 -</w:t>
        </w:r>
        <w:r w:rsidRPr="00261640">
          <w:rPr>
            <w:rFonts w:asciiTheme="minorEastAsia" w:hAnsiTheme="minorEastAsia"/>
            <w:sz w:val="28"/>
            <w:szCs w:val="28"/>
          </w:rPr>
          <w:fldChar w:fldCharType="end"/>
        </w:r>
      </w:p>
    </w:sdtContent>
  </w:sdt>
  <w:p w:rsidR="00261640" w:rsidRDefault="002616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AB2" w:rsidRDefault="00973AB2" w:rsidP="00261640">
      <w:r>
        <w:separator/>
      </w:r>
    </w:p>
  </w:footnote>
  <w:footnote w:type="continuationSeparator" w:id="1">
    <w:p w:rsidR="00973AB2" w:rsidRDefault="00973AB2" w:rsidP="002616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1640"/>
    <w:rsid w:val="00261640"/>
    <w:rsid w:val="00973A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1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1640"/>
    <w:rPr>
      <w:sz w:val="18"/>
      <w:szCs w:val="18"/>
    </w:rPr>
  </w:style>
  <w:style w:type="paragraph" w:styleId="a4">
    <w:name w:val="footer"/>
    <w:basedOn w:val="a"/>
    <w:link w:val="Char0"/>
    <w:uiPriority w:val="99"/>
    <w:unhideWhenUsed/>
    <w:rsid w:val="00261640"/>
    <w:pPr>
      <w:tabs>
        <w:tab w:val="center" w:pos="4153"/>
        <w:tab w:val="right" w:pos="8306"/>
      </w:tabs>
      <w:snapToGrid w:val="0"/>
      <w:jc w:val="left"/>
    </w:pPr>
    <w:rPr>
      <w:sz w:val="18"/>
      <w:szCs w:val="18"/>
    </w:rPr>
  </w:style>
  <w:style w:type="character" w:customStyle="1" w:styleId="Char0">
    <w:name w:val="页脚 Char"/>
    <w:basedOn w:val="a0"/>
    <w:link w:val="a4"/>
    <w:uiPriority w:val="99"/>
    <w:rsid w:val="00261640"/>
    <w:rPr>
      <w:sz w:val="18"/>
      <w:szCs w:val="18"/>
    </w:rPr>
  </w:style>
  <w:style w:type="paragraph" w:customStyle="1" w:styleId="Default">
    <w:name w:val="Default"/>
    <w:rsid w:val="00261640"/>
    <w:pPr>
      <w:widowControl w:val="0"/>
      <w:autoSpaceDE w:val="0"/>
      <w:autoSpaceDN w:val="0"/>
      <w:adjustRightInd w:val="0"/>
    </w:pPr>
    <w:rPr>
      <w:rFonts w:ascii="FangSong" w:hAnsi="FangSong" w:cs="FangSong"/>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342</Words>
  <Characters>1953</Characters>
  <Application>Microsoft Office Word</Application>
  <DocSecurity>0</DocSecurity>
  <Lines>16</Lines>
  <Paragraphs>4</Paragraphs>
  <ScaleCrop>false</ScaleCrop>
  <Company>Microsoft</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2023-02-24T06:51:00Z</dcterms:created>
  <dcterms:modified xsi:type="dcterms:W3CDTF">2023-02-24T06:56:00Z</dcterms:modified>
</cp:coreProperties>
</file>