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附件二：</w:t>
      </w:r>
    </w:p>
    <w:p>
      <w:pPr>
        <w:jc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专项基金母基金管理机构评分标准</w:t>
      </w:r>
    </w:p>
    <w:tbl>
      <w:tblPr>
        <w:tblStyle w:val="7"/>
        <w:tblW w:w="9401" w:type="dxa"/>
        <w:tblInd w:w="-39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28"/>
        <w:gridCol w:w="3238"/>
        <w:gridCol w:w="4135"/>
        <w:gridCol w:w="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4" w:hRule="atLeast"/>
        </w:trPr>
        <w:tc>
          <w:tcPr>
            <w:tcW w:w="1328" w:type="dxa"/>
            <w:vAlign w:val="center"/>
          </w:tcPr>
          <w:p>
            <w:pPr>
              <w:spacing w:line="280" w:lineRule="exact"/>
              <w:jc w:val="center"/>
              <w:rPr>
                <w:rFonts w:ascii="黑体" w:hAnsi="黑体" w:eastAsia="黑体"/>
                <w:sz w:val="24"/>
                <w:szCs w:val="24"/>
              </w:rPr>
            </w:pPr>
            <w:r>
              <w:rPr>
                <w:rFonts w:hint="eastAsia" w:ascii="黑体" w:hAnsi="黑体" w:eastAsia="黑体"/>
                <w:sz w:val="24"/>
                <w:szCs w:val="24"/>
              </w:rPr>
              <w:t>评分要点</w:t>
            </w:r>
          </w:p>
        </w:tc>
        <w:tc>
          <w:tcPr>
            <w:tcW w:w="3238" w:type="dxa"/>
            <w:vAlign w:val="center"/>
          </w:tcPr>
          <w:p>
            <w:pPr>
              <w:spacing w:line="280" w:lineRule="exact"/>
              <w:jc w:val="center"/>
              <w:rPr>
                <w:rFonts w:ascii="黑体" w:hAnsi="黑体" w:eastAsia="黑体"/>
                <w:sz w:val="24"/>
                <w:szCs w:val="24"/>
              </w:rPr>
            </w:pPr>
            <w:r>
              <w:rPr>
                <w:rFonts w:ascii="黑体" w:hAnsi="黑体" w:eastAsia="黑体"/>
                <w:sz w:val="24"/>
                <w:szCs w:val="24"/>
              </w:rPr>
              <w:t>评分</w:t>
            </w:r>
            <w:r>
              <w:rPr>
                <w:rFonts w:hint="eastAsia" w:ascii="黑体" w:hAnsi="黑体" w:eastAsia="黑体"/>
                <w:sz w:val="24"/>
                <w:szCs w:val="24"/>
              </w:rPr>
              <w:t>内容</w:t>
            </w:r>
          </w:p>
        </w:tc>
        <w:tc>
          <w:tcPr>
            <w:tcW w:w="4135" w:type="dxa"/>
            <w:vAlign w:val="center"/>
          </w:tcPr>
          <w:p>
            <w:pPr>
              <w:spacing w:line="280" w:lineRule="exact"/>
              <w:jc w:val="center"/>
              <w:rPr>
                <w:rFonts w:ascii="黑体" w:hAnsi="黑体" w:eastAsia="黑体"/>
                <w:sz w:val="24"/>
                <w:szCs w:val="24"/>
              </w:rPr>
            </w:pPr>
            <w:r>
              <w:rPr>
                <w:rFonts w:ascii="黑体" w:hAnsi="黑体" w:eastAsia="黑体"/>
                <w:sz w:val="24"/>
                <w:szCs w:val="24"/>
              </w:rPr>
              <w:t>评分</w:t>
            </w:r>
            <w:r>
              <w:rPr>
                <w:rFonts w:hint="eastAsia" w:ascii="黑体" w:hAnsi="黑体" w:eastAsia="黑体"/>
                <w:sz w:val="24"/>
                <w:szCs w:val="24"/>
              </w:rPr>
              <w:t>依据</w:t>
            </w:r>
          </w:p>
        </w:tc>
        <w:tc>
          <w:tcPr>
            <w:tcW w:w="700" w:type="dxa"/>
            <w:vAlign w:val="center"/>
          </w:tcPr>
          <w:p>
            <w:pPr>
              <w:spacing w:line="280" w:lineRule="exact"/>
              <w:jc w:val="center"/>
              <w:rPr>
                <w:rFonts w:ascii="黑体" w:hAnsi="黑体" w:eastAsia="黑体"/>
                <w:sz w:val="24"/>
                <w:szCs w:val="24"/>
              </w:rPr>
            </w:pPr>
            <w:r>
              <w:rPr>
                <w:rFonts w:ascii="黑体" w:hAnsi="黑体" w:eastAsia="黑体"/>
                <w:sz w:val="24"/>
                <w:szCs w:val="24"/>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28" w:type="dxa"/>
            <w:vAlign w:val="center"/>
          </w:tcPr>
          <w:p>
            <w:pPr>
              <w:spacing w:line="280" w:lineRule="exact"/>
              <w:jc w:val="center"/>
            </w:pPr>
            <w:r>
              <w:t>管理机构规范性</w:t>
            </w:r>
          </w:p>
          <w:p>
            <w:pPr>
              <w:spacing w:line="280" w:lineRule="exact"/>
              <w:jc w:val="center"/>
            </w:pPr>
            <w:r>
              <w:rPr>
                <w:rFonts w:hint="eastAsia"/>
              </w:rPr>
              <w:t>（1</w:t>
            </w:r>
            <w:r>
              <w:rPr>
                <w:rFonts w:hint="eastAsia"/>
                <w:lang w:val="en-US" w:eastAsia="zh-CN"/>
              </w:rPr>
              <w:t>0</w:t>
            </w:r>
            <w:r>
              <w:rPr>
                <w:rFonts w:hint="eastAsia"/>
              </w:rPr>
              <w:t>分）</w:t>
            </w:r>
          </w:p>
        </w:tc>
        <w:tc>
          <w:tcPr>
            <w:tcW w:w="3238" w:type="dxa"/>
            <w:vAlign w:val="center"/>
          </w:tcPr>
          <w:p>
            <w:pPr>
              <w:spacing w:line="280" w:lineRule="exact"/>
              <w:jc w:val="left"/>
            </w:pPr>
            <w:r>
              <w:rPr>
                <w:rFonts w:hint="eastAsia"/>
              </w:rPr>
              <w:t>管理机构具有健全的管理制度和机制，包括但不限于项目立项机制、投资决策机制、激励约束机制、资产托管机制、财务管理制度和风险控制机制等。</w:t>
            </w:r>
          </w:p>
        </w:tc>
        <w:tc>
          <w:tcPr>
            <w:tcW w:w="4135" w:type="dxa"/>
            <w:vAlign w:val="center"/>
          </w:tcPr>
          <w:p>
            <w:pPr>
              <w:spacing w:line="280" w:lineRule="exact"/>
              <w:jc w:val="left"/>
            </w:pPr>
            <w:r>
              <w:rPr>
                <w:rFonts w:hint="eastAsia"/>
              </w:rPr>
              <w:t>由专家综合比较打分。优秀的，得</w:t>
            </w:r>
            <w:r>
              <w:rPr>
                <w:rFonts w:hint="eastAsia"/>
                <w:lang w:val="en-US" w:eastAsia="zh-CN"/>
              </w:rPr>
              <w:t>8</w:t>
            </w:r>
            <w:r>
              <w:rPr>
                <w:rFonts w:hint="eastAsia"/>
              </w:rPr>
              <w:t>-1</w:t>
            </w:r>
            <w:r>
              <w:rPr>
                <w:rFonts w:hint="eastAsia"/>
                <w:lang w:val="en-US" w:eastAsia="zh-CN"/>
              </w:rPr>
              <w:t>0</w:t>
            </w:r>
            <w:r>
              <w:rPr>
                <w:rFonts w:hint="eastAsia"/>
              </w:rPr>
              <w:t xml:space="preserve"> 分；良好的，</w:t>
            </w:r>
            <w:r>
              <w:rPr>
                <w:rFonts w:hint="eastAsia"/>
                <w:lang w:val="en-US" w:eastAsia="zh-CN"/>
              </w:rPr>
              <w:t>6</w:t>
            </w:r>
            <w:r>
              <w:rPr>
                <w:rFonts w:hint="eastAsia"/>
              </w:rPr>
              <w:t>-</w:t>
            </w:r>
            <w:r>
              <w:rPr>
                <w:rFonts w:hint="eastAsia"/>
                <w:lang w:val="en-US" w:eastAsia="zh-CN"/>
              </w:rPr>
              <w:t>8</w:t>
            </w:r>
            <w:r>
              <w:rPr>
                <w:rFonts w:hint="eastAsia"/>
              </w:rPr>
              <w:t xml:space="preserve"> 分；一般的，0</w:t>
            </w:r>
            <w:r>
              <w:rPr>
                <w:rFonts w:hint="eastAsia"/>
                <w:lang w:val="en-US" w:eastAsia="zh-CN"/>
              </w:rPr>
              <w:t>-6</w:t>
            </w:r>
            <w:r>
              <w:rPr>
                <w:rFonts w:hint="eastAsia"/>
              </w:rPr>
              <w:t xml:space="preserve"> 分。</w:t>
            </w:r>
          </w:p>
        </w:tc>
        <w:tc>
          <w:tcPr>
            <w:tcW w:w="700" w:type="dxa"/>
            <w:vAlign w:val="center"/>
          </w:tcPr>
          <w:p>
            <w:pPr>
              <w:spacing w:line="280" w:lineRule="exact"/>
              <w:jc w:val="center"/>
              <w:rPr>
                <w:rFonts w:hint="eastAsia" w:eastAsiaTheme="minorEastAsia"/>
                <w:lang w:eastAsia="zh-CN"/>
              </w:rPr>
            </w:pPr>
            <w:r>
              <w:rPr>
                <w:rFonts w:hint="eastAsia"/>
              </w:rPr>
              <w:t>1</w:t>
            </w:r>
            <w:r>
              <w:rPr>
                <w:rFonts w:hint="eastAsia"/>
                <w:lang w:val="en-US" w:eastAsia="zh-CN"/>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trPr>
        <w:tc>
          <w:tcPr>
            <w:tcW w:w="1328" w:type="dxa"/>
            <w:vMerge w:val="restart"/>
            <w:vAlign w:val="center"/>
          </w:tcPr>
          <w:p>
            <w:pPr>
              <w:spacing w:line="280" w:lineRule="exact"/>
              <w:jc w:val="center"/>
              <w:rPr>
                <w:rFonts w:hint="eastAsia" w:eastAsiaTheme="minorEastAsia"/>
                <w:lang w:val="en-US" w:eastAsia="zh-CN"/>
              </w:rPr>
            </w:pPr>
            <w:r>
              <w:rPr>
                <w:rFonts w:hint="eastAsia"/>
                <w:lang w:val="en-US" w:eastAsia="zh-CN"/>
              </w:rPr>
              <w:t>管理机构资金实力（30分）</w:t>
            </w:r>
          </w:p>
        </w:tc>
        <w:tc>
          <w:tcPr>
            <w:tcW w:w="3238" w:type="dxa"/>
            <w:vAlign w:val="center"/>
          </w:tcPr>
          <w:p>
            <w:pPr>
              <w:spacing w:line="280" w:lineRule="exact"/>
              <w:jc w:val="left"/>
              <w:rPr>
                <w:rFonts w:hint="eastAsia" w:eastAsiaTheme="minorEastAsia"/>
                <w:highlight w:val="none"/>
                <w:lang w:eastAsia="zh-CN"/>
              </w:rPr>
            </w:pPr>
            <w:r>
              <w:rPr>
                <w:rFonts w:hint="eastAsia"/>
                <w:color w:val="auto"/>
                <w:highlight w:val="none"/>
                <w:lang w:eastAsia="zh-CN"/>
              </w:rPr>
              <w:t>管理</w:t>
            </w:r>
            <w:r>
              <w:rPr>
                <w:rFonts w:hint="eastAsia"/>
                <w:color w:val="auto"/>
                <w:highlight w:val="none"/>
              </w:rPr>
              <w:t>机构</w:t>
            </w:r>
            <w:r>
              <w:rPr>
                <w:rFonts w:hint="eastAsia"/>
                <w:color w:val="auto"/>
                <w:highlight w:val="none"/>
                <w:lang w:eastAsia="zh-CN"/>
              </w:rPr>
              <w:t>母基金</w:t>
            </w:r>
            <w:r>
              <w:rPr>
                <w:rFonts w:hint="eastAsia"/>
                <w:color w:val="auto"/>
                <w:highlight w:val="none"/>
              </w:rPr>
              <w:t>配资</w:t>
            </w:r>
            <w:r>
              <w:rPr>
                <w:rFonts w:hint="eastAsia"/>
                <w:color w:val="auto"/>
                <w:highlight w:val="none"/>
                <w:lang w:eastAsia="zh-CN"/>
              </w:rPr>
              <w:t>募资能力</w:t>
            </w:r>
            <w:r>
              <w:rPr>
                <w:rFonts w:hint="eastAsia"/>
                <w:color w:val="auto"/>
                <w:highlight w:val="none"/>
              </w:rPr>
              <w:t>。在</w:t>
            </w:r>
            <w:r>
              <w:rPr>
                <w:rFonts w:hint="eastAsia"/>
                <w:color w:val="auto"/>
                <w:highlight w:val="none"/>
                <w:lang w:eastAsia="zh-CN"/>
              </w:rPr>
              <w:t>天使</w:t>
            </w:r>
            <w:r>
              <w:rPr>
                <w:rFonts w:hint="eastAsia"/>
                <w:color w:val="auto"/>
                <w:highlight w:val="none"/>
              </w:rPr>
              <w:t>母基金投资期内，能够使用管理机构自有资金</w:t>
            </w:r>
            <w:r>
              <w:rPr>
                <w:rFonts w:hint="eastAsia"/>
                <w:color w:val="auto"/>
                <w:highlight w:val="none"/>
                <w:lang w:eastAsia="zh-CN"/>
              </w:rPr>
              <w:t>或资源</w:t>
            </w:r>
            <w:r>
              <w:rPr>
                <w:rFonts w:hint="eastAsia"/>
                <w:color w:val="auto"/>
                <w:highlight w:val="none"/>
              </w:rPr>
              <w:t>，对母基金进行配资</w:t>
            </w:r>
            <w:r>
              <w:rPr>
                <w:rFonts w:hint="eastAsia"/>
                <w:color w:val="auto"/>
                <w:highlight w:val="none"/>
                <w:lang w:eastAsia="zh-CN"/>
              </w:rPr>
              <w:t>和募资</w:t>
            </w:r>
            <w:r>
              <w:rPr>
                <w:rFonts w:hint="eastAsia"/>
                <w:color w:val="auto"/>
                <w:highlight w:val="none"/>
              </w:rPr>
              <w:t>。</w:t>
            </w:r>
          </w:p>
        </w:tc>
        <w:tc>
          <w:tcPr>
            <w:tcW w:w="4135" w:type="dxa"/>
            <w:vAlign w:val="center"/>
          </w:tcPr>
          <w:p>
            <w:pPr>
              <w:spacing w:line="280" w:lineRule="exact"/>
              <w:jc w:val="left"/>
              <w:rPr>
                <w:rFonts w:hint="eastAsia"/>
                <w:highlight w:val="none"/>
              </w:rPr>
            </w:pPr>
            <w:r>
              <w:rPr>
                <w:rFonts w:hint="eastAsia"/>
              </w:rPr>
              <w:t>承诺</w:t>
            </w:r>
            <w:r>
              <w:rPr>
                <w:rFonts w:hint="eastAsia"/>
                <w:lang w:eastAsia="zh-CN"/>
              </w:rPr>
              <w:t>母基金出资认缴和募集资金总额</w:t>
            </w:r>
            <w:r>
              <w:rPr>
                <w:rFonts w:hint="eastAsia"/>
              </w:rPr>
              <w:t>不低于</w:t>
            </w:r>
            <w:r>
              <w:rPr>
                <w:rFonts w:hint="eastAsia"/>
                <w:lang w:eastAsia="zh-CN"/>
              </w:rPr>
              <w:t>省新型产业引导基金出资</w:t>
            </w:r>
            <w:r>
              <w:rPr>
                <w:rFonts w:hint="eastAsia"/>
              </w:rPr>
              <w:t>的</w:t>
            </w:r>
            <w:r>
              <w:rPr>
                <w:rFonts w:hint="eastAsia"/>
                <w:lang w:val="en-US" w:eastAsia="zh-CN"/>
              </w:rPr>
              <w:t>20</w:t>
            </w:r>
            <w:r>
              <w:rPr>
                <w:rFonts w:hint="eastAsia"/>
              </w:rPr>
              <w:t>%</w:t>
            </w:r>
            <w:r>
              <w:rPr>
                <w:rFonts w:hint="eastAsia"/>
                <w:lang w:eastAsia="zh-CN"/>
              </w:rPr>
              <w:t>以上得</w:t>
            </w:r>
            <w:r>
              <w:rPr>
                <w:rFonts w:hint="eastAsia"/>
                <w:lang w:val="en-US" w:eastAsia="zh-CN"/>
              </w:rPr>
              <w:t>15分，</w:t>
            </w:r>
            <w:bookmarkStart w:id="0" w:name="_GoBack"/>
            <w:bookmarkEnd w:id="0"/>
            <w:r>
              <w:rPr>
                <w:rFonts w:hint="eastAsia"/>
                <w:lang w:val="en-US" w:eastAsia="zh-CN"/>
              </w:rPr>
              <w:t>20%</w:t>
            </w:r>
            <w:r>
              <w:rPr>
                <w:rFonts w:hint="eastAsia"/>
              </w:rPr>
              <w:t>以下不得分。</w:t>
            </w:r>
          </w:p>
        </w:tc>
        <w:tc>
          <w:tcPr>
            <w:tcW w:w="700" w:type="dxa"/>
            <w:vAlign w:val="center"/>
          </w:tcPr>
          <w:p>
            <w:pPr>
              <w:spacing w:line="280" w:lineRule="exact"/>
              <w:jc w:val="center"/>
              <w:rPr>
                <w:rFonts w:hint="eastAsia"/>
                <w:highlight w:val="none"/>
              </w:rPr>
            </w:pPr>
            <w:r>
              <w:rPr>
                <w:rFonts w:hint="eastAsia"/>
                <w:color w:val="auto"/>
                <w:highlight w:val="none"/>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1328" w:type="dxa"/>
            <w:vMerge w:val="continue"/>
            <w:vAlign w:val="center"/>
          </w:tcPr>
          <w:p>
            <w:pPr>
              <w:spacing w:line="280" w:lineRule="exact"/>
              <w:jc w:val="center"/>
              <w:rPr>
                <w:rFonts w:hint="eastAsia"/>
                <w:lang w:val="en-US" w:eastAsia="zh-CN"/>
              </w:rPr>
            </w:pPr>
          </w:p>
        </w:tc>
        <w:tc>
          <w:tcPr>
            <w:tcW w:w="3238" w:type="dxa"/>
            <w:vAlign w:val="center"/>
          </w:tcPr>
          <w:p>
            <w:pPr>
              <w:spacing w:line="280" w:lineRule="exact"/>
              <w:jc w:val="left"/>
              <w:rPr>
                <w:rFonts w:hint="eastAsia" w:eastAsiaTheme="minorEastAsia"/>
                <w:highlight w:val="none"/>
                <w:lang w:eastAsia="zh-CN"/>
              </w:rPr>
            </w:pPr>
            <w:r>
              <w:rPr>
                <w:rFonts w:hint="eastAsia"/>
                <w:color w:val="auto"/>
                <w:highlight w:val="none"/>
              </w:rPr>
              <w:t>机构募资能力。管理机构具有较强的资本运作能力。</w:t>
            </w:r>
          </w:p>
        </w:tc>
        <w:tc>
          <w:tcPr>
            <w:tcW w:w="4135" w:type="dxa"/>
            <w:vAlign w:val="center"/>
          </w:tcPr>
          <w:p>
            <w:pPr>
              <w:spacing w:line="280" w:lineRule="exact"/>
              <w:jc w:val="left"/>
              <w:rPr>
                <w:rFonts w:hint="eastAsia"/>
                <w:highlight w:val="none"/>
              </w:rPr>
            </w:pPr>
            <w:r>
              <w:rPr>
                <w:rFonts w:hint="eastAsia"/>
                <w:color w:val="auto"/>
                <w:highlight w:val="none"/>
              </w:rPr>
              <w:t xml:space="preserve">管理机构有募资超过 </w:t>
            </w:r>
            <w:r>
              <w:rPr>
                <w:color w:val="auto"/>
                <w:highlight w:val="none"/>
              </w:rPr>
              <w:t>50</w:t>
            </w:r>
            <w:r>
              <w:rPr>
                <w:rFonts w:hint="eastAsia"/>
                <w:color w:val="auto"/>
                <w:highlight w:val="none"/>
              </w:rPr>
              <w:t xml:space="preserve">亿元（含）案例的，得 15分；有募资超过 </w:t>
            </w:r>
            <w:r>
              <w:rPr>
                <w:color w:val="auto"/>
                <w:highlight w:val="none"/>
              </w:rPr>
              <w:t>30</w:t>
            </w:r>
            <w:r>
              <w:rPr>
                <w:rFonts w:hint="eastAsia"/>
                <w:color w:val="auto"/>
                <w:highlight w:val="none"/>
              </w:rPr>
              <w:t xml:space="preserve"> 亿元不足50亿元的，以</w:t>
            </w:r>
            <w:r>
              <w:rPr>
                <w:color w:val="auto"/>
                <w:highlight w:val="none"/>
              </w:rPr>
              <w:t>50</w:t>
            </w:r>
            <w:r>
              <w:rPr>
                <w:rFonts w:hint="eastAsia"/>
                <w:color w:val="auto"/>
                <w:highlight w:val="none"/>
              </w:rPr>
              <w:t>亿元为基数按比例得分；30亿元以下不得分。</w:t>
            </w:r>
          </w:p>
        </w:tc>
        <w:tc>
          <w:tcPr>
            <w:tcW w:w="700" w:type="dxa"/>
            <w:vAlign w:val="center"/>
          </w:tcPr>
          <w:p>
            <w:pPr>
              <w:spacing w:line="280" w:lineRule="exact"/>
              <w:jc w:val="center"/>
              <w:rPr>
                <w:rFonts w:hint="eastAsia" w:eastAsiaTheme="minorEastAsia"/>
                <w:highlight w:val="none"/>
                <w:lang w:eastAsia="zh-CN"/>
              </w:rPr>
            </w:pPr>
            <w:r>
              <w:rPr>
                <w:rFonts w:hint="eastAsia"/>
                <w:color w:val="auto"/>
                <w:highlight w:val="none"/>
              </w:rPr>
              <w:t>1</w:t>
            </w:r>
            <w:r>
              <w:rPr>
                <w:rFonts w:hint="eastAsia"/>
                <w:color w:val="auto"/>
                <w:highlight w:val="none"/>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70" w:hRule="atLeast"/>
        </w:trPr>
        <w:tc>
          <w:tcPr>
            <w:tcW w:w="1328" w:type="dxa"/>
            <w:vMerge w:val="restart"/>
            <w:vAlign w:val="center"/>
          </w:tcPr>
          <w:p>
            <w:pPr>
              <w:spacing w:line="280" w:lineRule="exact"/>
              <w:jc w:val="center"/>
            </w:pPr>
            <w:r>
              <w:rPr>
                <w:rFonts w:hint="eastAsia"/>
              </w:rPr>
              <w:t>管理机构早期投资能力和业绩（</w:t>
            </w:r>
            <w:r>
              <w:rPr>
                <w:rFonts w:hint="eastAsia"/>
                <w:lang w:val="en-US" w:eastAsia="zh-CN"/>
              </w:rPr>
              <w:t>35</w:t>
            </w:r>
            <w:r>
              <w:rPr>
                <w:rFonts w:hint="eastAsia"/>
              </w:rPr>
              <w:t>分）</w:t>
            </w:r>
          </w:p>
        </w:tc>
        <w:tc>
          <w:tcPr>
            <w:tcW w:w="3238" w:type="dxa"/>
            <w:vAlign w:val="center"/>
          </w:tcPr>
          <w:p>
            <w:pPr>
              <w:rPr>
                <w:rFonts w:hint="eastAsia" w:eastAsiaTheme="minorEastAsia"/>
                <w:highlight w:val="none"/>
                <w:lang w:val="en-US" w:eastAsia="zh-CN"/>
              </w:rPr>
            </w:pPr>
            <w:r>
              <w:rPr>
                <w:rFonts w:hint="eastAsia"/>
                <w:color w:val="auto"/>
                <w:highlight w:val="none"/>
                <w:lang w:eastAsia="zh-CN"/>
              </w:rPr>
              <w:t>投资案例：机构累计投资早期项目数。备注：参照科技部、财政部、国家税务总局印发的《科技型中小企业评价办法》中规定科技型中小企业满足条件。</w:t>
            </w:r>
            <w:r>
              <w:rPr>
                <w:rFonts w:hint="eastAsia"/>
                <w:color w:val="auto"/>
                <w:highlight w:val="none"/>
                <w:lang w:val="en-US" w:eastAsia="zh-CN"/>
              </w:rPr>
              <w:t>5年以内，</w:t>
            </w:r>
            <w:r>
              <w:rPr>
                <w:rFonts w:hint="eastAsia"/>
                <w:color w:val="auto"/>
                <w:highlight w:val="none"/>
                <w:lang w:eastAsia="zh-CN"/>
              </w:rPr>
              <w:t>职工总数不超过500人、年销售收入或资产总额不超过2亿元。</w:t>
            </w:r>
          </w:p>
        </w:tc>
        <w:tc>
          <w:tcPr>
            <w:tcW w:w="4135" w:type="dxa"/>
            <w:vAlign w:val="center"/>
          </w:tcPr>
          <w:p>
            <w:pPr>
              <w:spacing w:line="280" w:lineRule="exact"/>
              <w:jc w:val="left"/>
              <w:rPr>
                <w:highlight w:val="none"/>
              </w:rPr>
            </w:pPr>
            <w:r>
              <w:rPr>
                <w:rFonts w:hint="eastAsia"/>
                <w:highlight w:val="none"/>
              </w:rPr>
              <w:t>管理机构或</w:t>
            </w:r>
            <w:r>
              <w:rPr>
                <w:rFonts w:hint="eastAsia"/>
                <w:highlight w:val="none"/>
                <w:lang w:val="en-US" w:eastAsia="zh-CN"/>
              </w:rPr>
              <w:t>管理机构及控股子公司</w:t>
            </w:r>
            <w:r>
              <w:rPr>
                <w:rFonts w:hint="eastAsia"/>
                <w:highlight w:val="none"/>
              </w:rPr>
              <w:t>管理基金累计投资早</w:t>
            </w:r>
            <w:r>
              <w:rPr>
                <w:rFonts w:hint="eastAsia"/>
                <w:highlight w:val="none"/>
                <w:lang w:val="en-US" w:eastAsia="zh-CN"/>
              </w:rPr>
              <w:t>中</w:t>
            </w:r>
            <w:r>
              <w:rPr>
                <w:rFonts w:hint="eastAsia"/>
                <w:highlight w:val="none"/>
              </w:rPr>
              <w:t>期项目数（同一机构管理的不同基金</w:t>
            </w:r>
            <w:r>
              <w:rPr>
                <w:rFonts w:hint="eastAsia"/>
                <w:highlight w:val="none"/>
                <w:lang w:eastAsia="zh-CN"/>
              </w:rPr>
              <w:t>可</w:t>
            </w:r>
            <w:r>
              <w:rPr>
                <w:rFonts w:hint="eastAsia"/>
                <w:highlight w:val="none"/>
              </w:rPr>
              <w:t>累加计算）达到</w:t>
            </w:r>
            <w:r>
              <w:rPr>
                <w:rFonts w:hint="eastAsia"/>
                <w:highlight w:val="none"/>
                <w:lang w:val="en-US" w:eastAsia="zh-CN"/>
              </w:rPr>
              <w:t>30</w:t>
            </w:r>
            <w:r>
              <w:rPr>
                <w:rFonts w:hint="eastAsia"/>
                <w:highlight w:val="none"/>
              </w:rPr>
              <w:t>个的，得10分，每多</w:t>
            </w:r>
            <w:r>
              <w:rPr>
                <w:rFonts w:hint="eastAsia"/>
                <w:highlight w:val="none"/>
                <w:lang w:val="en-US" w:eastAsia="zh-CN"/>
              </w:rPr>
              <w:t>5</w:t>
            </w:r>
            <w:r>
              <w:rPr>
                <w:rFonts w:hint="eastAsia"/>
                <w:highlight w:val="none"/>
              </w:rPr>
              <w:t>个项目，多得1分，最高15分；低于</w:t>
            </w:r>
            <w:r>
              <w:rPr>
                <w:rFonts w:hint="eastAsia"/>
                <w:highlight w:val="none"/>
                <w:lang w:val="en-US" w:eastAsia="zh-CN"/>
              </w:rPr>
              <w:t>30</w:t>
            </w:r>
            <w:r>
              <w:rPr>
                <w:rFonts w:hint="eastAsia"/>
                <w:highlight w:val="none"/>
              </w:rPr>
              <w:t>个项目不得分。</w:t>
            </w:r>
          </w:p>
        </w:tc>
        <w:tc>
          <w:tcPr>
            <w:tcW w:w="700" w:type="dxa"/>
            <w:vAlign w:val="center"/>
          </w:tcPr>
          <w:p>
            <w:pPr>
              <w:spacing w:line="280" w:lineRule="exact"/>
              <w:jc w:val="center"/>
              <w:rPr>
                <w:rFonts w:hint="default" w:eastAsiaTheme="minorEastAsia"/>
                <w:highlight w:val="none"/>
                <w:lang w:val="en-US" w:eastAsia="zh-CN"/>
              </w:rPr>
            </w:pPr>
            <w:r>
              <w:rPr>
                <w:rFonts w:hint="eastAsia"/>
                <w:highlight w:val="none"/>
                <w:lang w:val="en-US" w:eastAsia="zh-CN"/>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5" w:hRule="atLeast"/>
        </w:trPr>
        <w:tc>
          <w:tcPr>
            <w:tcW w:w="1328" w:type="dxa"/>
            <w:vMerge w:val="continue"/>
            <w:vAlign w:val="center"/>
          </w:tcPr>
          <w:p>
            <w:pPr>
              <w:spacing w:line="280" w:lineRule="exact"/>
              <w:jc w:val="center"/>
            </w:pPr>
          </w:p>
        </w:tc>
        <w:tc>
          <w:tcPr>
            <w:tcW w:w="3238" w:type="dxa"/>
            <w:vAlign w:val="center"/>
          </w:tcPr>
          <w:p>
            <w:pPr>
              <w:spacing w:line="280" w:lineRule="exact"/>
              <w:jc w:val="left"/>
            </w:pPr>
            <w:r>
              <w:rPr>
                <w:rFonts w:hint="eastAsia"/>
              </w:rPr>
              <w:t>管理业绩。管理机构过往投资项目实现上市、并购及退出情况。</w:t>
            </w:r>
          </w:p>
        </w:tc>
        <w:tc>
          <w:tcPr>
            <w:tcW w:w="4135" w:type="dxa"/>
            <w:vAlign w:val="center"/>
          </w:tcPr>
          <w:p>
            <w:pPr>
              <w:spacing w:line="280" w:lineRule="exact"/>
              <w:jc w:val="left"/>
              <w:rPr>
                <w:rFonts w:hint="default" w:eastAsiaTheme="minorEastAsia"/>
                <w:lang w:val="en-US" w:eastAsia="zh-CN"/>
              </w:rPr>
            </w:pPr>
            <w:r>
              <w:rPr>
                <w:rFonts w:hint="eastAsia"/>
              </w:rPr>
              <w:t>过往投资项目实现上市</w:t>
            </w:r>
            <w:r>
              <w:rPr>
                <w:rFonts w:hint="eastAsia"/>
                <w:lang w:eastAsia="zh-CN"/>
              </w:rPr>
              <w:t>、并购</w:t>
            </w:r>
            <w:r>
              <w:rPr>
                <w:rFonts w:hint="eastAsia"/>
              </w:rPr>
              <w:t>的</w:t>
            </w:r>
            <w:r>
              <w:rPr>
                <w:rFonts w:hint="eastAsia"/>
                <w:lang w:val="en-US" w:eastAsia="zh-CN"/>
              </w:rPr>
              <w:t>5</w:t>
            </w:r>
            <w:r>
              <w:rPr>
                <w:rFonts w:hint="eastAsia"/>
              </w:rPr>
              <w:t>个得</w:t>
            </w:r>
            <w:r>
              <w:rPr>
                <w:rFonts w:hint="eastAsia"/>
                <w:lang w:val="en-US" w:eastAsia="zh-CN"/>
              </w:rPr>
              <w:t>8</w:t>
            </w:r>
            <w:r>
              <w:rPr>
                <w:rFonts w:hint="eastAsia"/>
              </w:rPr>
              <w:t>分，</w:t>
            </w:r>
            <w:r>
              <w:rPr>
                <w:rFonts w:hint="eastAsia"/>
                <w:lang w:eastAsia="zh-CN"/>
              </w:rPr>
              <w:t>每多</w:t>
            </w:r>
            <w:r>
              <w:rPr>
                <w:rFonts w:hint="eastAsia"/>
                <w:lang w:val="en-US" w:eastAsia="zh-CN"/>
              </w:rPr>
              <w:t>1个加1分，最高10分。不足5个不得分。</w:t>
            </w:r>
          </w:p>
        </w:tc>
        <w:tc>
          <w:tcPr>
            <w:tcW w:w="700" w:type="dxa"/>
            <w:vAlign w:val="center"/>
          </w:tcPr>
          <w:p>
            <w:pPr>
              <w:spacing w:line="280" w:lineRule="exact"/>
              <w:jc w:val="center"/>
            </w:pPr>
            <w:r>
              <w:rPr>
                <w:rFonts w:hint="eastAsi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5" w:hRule="atLeast"/>
        </w:trPr>
        <w:tc>
          <w:tcPr>
            <w:tcW w:w="1328" w:type="dxa"/>
            <w:vMerge w:val="continue"/>
            <w:vAlign w:val="center"/>
          </w:tcPr>
          <w:p>
            <w:pPr>
              <w:spacing w:line="280" w:lineRule="exact"/>
              <w:jc w:val="center"/>
            </w:pPr>
          </w:p>
        </w:tc>
        <w:tc>
          <w:tcPr>
            <w:tcW w:w="3238" w:type="dxa"/>
            <w:vAlign w:val="center"/>
          </w:tcPr>
          <w:p>
            <w:pPr>
              <w:spacing w:line="280" w:lineRule="exact"/>
              <w:jc w:val="left"/>
            </w:pPr>
            <w:r>
              <w:rPr>
                <w:rFonts w:hint="eastAsia"/>
              </w:rPr>
              <w:t>管理规模。母基金管理机构累计管理</w:t>
            </w:r>
            <w:r>
              <w:rPr>
                <w:rFonts w:hint="eastAsia"/>
                <w:lang w:eastAsia="zh-CN"/>
              </w:rPr>
              <w:t>股权投资基金</w:t>
            </w:r>
            <w:r>
              <w:rPr>
                <w:rFonts w:hint="eastAsia"/>
              </w:rPr>
              <w:t>实缴规模。</w:t>
            </w:r>
          </w:p>
        </w:tc>
        <w:tc>
          <w:tcPr>
            <w:tcW w:w="4135" w:type="dxa"/>
            <w:vAlign w:val="center"/>
          </w:tcPr>
          <w:p>
            <w:pPr>
              <w:spacing w:line="280" w:lineRule="exact"/>
              <w:jc w:val="left"/>
              <w:rPr>
                <w:highlight w:val="none"/>
              </w:rPr>
            </w:pPr>
            <w:r>
              <w:rPr>
                <w:rFonts w:hint="eastAsia"/>
                <w:highlight w:val="none"/>
              </w:rPr>
              <w:t>累计管理</w:t>
            </w:r>
            <w:r>
              <w:rPr>
                <w:rFonts w:hint="eastAsia"/>
                <w:highlight w:val="none"/>
                <w:lang w:eastAsia="zh-CN"/>
              </w:rPr>
              <w:t>股权投资基金</w:t>
            </w:r>
            <w:r>
              <w:rPr>
                <w:rFonts w:hint="eastAsia"/>
                <w:highlight w:val="none"/>
              </w:rPr>
              <w:t>实缴规模达到</w:t>
            </w:r>
            <w:r>
              <w:rPr>
                <w:rFonts w:hint="eastAsia"/>
                <w:highlight w:val="none"/>
                <w:lang w:val="en-US" w:eastAsia="zh-CN"/>
              </w:rPr>
              <w:t>2</w:t>
            </w:r>
            <w:r>
              <w:rPr>
                <w:rFonts w:hint="eastAsia"/>
                <w:highlight w:val="none"/>
              </w:rPr>
              <w:t>0亿元的得</w:t>
            </w:r>
            <w:r>
              <w:rPr>
                <w:highlight w:val="none"/>
              </w:rPr>
              <w:t>5</w:t>
            </w:r>
            <w:r>
              <w:rPr>
                <w:rFonts w:hint="eastAsia"/>
                <w:highlight w:val="none"/>
              </w:rPr>
              <w:t>分，</w:t>
            </w:r>
            <w:r>
              <w:rPr>
                <w:rFonts w:hint="eastAsia"/>
                <w:highlight w:val="none"/>
                <w:lang w:val="en-US" w:eastAsia="zh-CN"/>
              </w:rPr>
              <w:t>2</w:t>
            </w:r>
            <w:r>
              <w:rPr>
                <w:highlight w:val="none"/>
              </w:rPr>
              <w:t>0</w:t>
            </w:r>
            <w:r>
              <w:rPr>
                <w:rFonts w:hint="eastAsia"/>
                <w:highlight w:val="none"/>
              </w:rPr>
              <w:t>亿元以上的每增加</w:t>
            </w:r>
            <w:r>
              <w:rPr>
                <w:rFonts w:hint="eastAsia"/>
                <w:highlight w:val="none"/>
                <w:lang w:val="en-US" w:eastAsia="zh-CN"/>
              </w:rPr>
              <w:t>5</w:t>
            </w:r>
            <w:r>
              <w:rPr>
                <w:rFonts w:hint="eastAsia"/>
                <w:highlight w:val="none"/>
              </w:rPr>
              <w:t>亿元得1分，最高</w:t>
            </w:r>
            <w:r>
              <w:rPr>
                <w:highlight w:val="none"/>
              </w:rPr>
              <w:t>10</w:t>
            </w:r>
            <w:r>
              <w:rPr>
                <w:rFonts w:hint="eastAsia"/>
                <w:highlight w:val="none"/>
              </w:rPr>
              <w:t>分；2</w:t>
            </w:r>
            <w:r>
              <w:rPr>
                <w:highlight w:val="none"/>
              </w:rPr>
              <w:t>0</w:t>
            </w:r>
            <w:r>
              <w:rPr>
                <w:rFonts w:hint="eastAsia"/>
                <w:highlight w:val="none"/>
              </w:rPr>
              <w:t>亿元以下不得分。</w:t>
            </w:r>
          </w:p>
        </w:tc>
        <w:tc>
          <w:tcPr>
            <w:tcW w:w="700" w:type="dxa"/>
            <w:vAlign w:val="center"/>
          </w:tcPr>
          <w:p>
            <w:pPr>
              <w:spacing w:line="280" w:lineRule="exact"/>
              <w:jc w:val="center"/>
              <w:rPr>
                <w:highlight w:val="none"/>
              </w:rPr>
            </w:pPr>
            <w:r>
              <w:rPr>
                <w:rFonts w:hint="eastAsia"/>
                <w:highlight w:val="none"/>
              </w:rPr>
              <w:t>1</w:t>
            </w:r>
            <w:r>
              <w:rPr>
                <w:highlight w:val="none"/>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0" w:hRule="atLeast"/>
        </w:trPr>
        <w:tc>
          <w:tcPr>
            <w:tcW w:w="1328" w:type="dxa"/>
            <w:vMerge w:val="restart"/>
            <w:vAlign w:val="center"/>
          </w:tcPr>
          <w:p>
            <w:pPr>
              <w:spacing w:line="280" w:lineRule="exact"/>
              <w:jc w:val="center"/>
            </w:pPr>
            <w:r>
              <w:t>管理机构其他综合实力</w:t>
            </w:r>
            <w:r>
              <w:rPr>
                <w:rFonts w:hint="eastAsia"/>
              </w:rPr>
              <w:t>（</w:t>
            </w:r>
            <w:r>
              <w:rPr>
                <w:rFonts w:hint="eastAsia"/>
                <w:lang w:val="en-US" w:eastAsia="zh-CN"/>
              </w:rPr>
              <w:t>2</w:t>
            </w:r>
            <w:r>
              <w:rPr>
                <w:rFonts w:hint="eastAsia"/>
              </w:rPr>
              <w:t>5分）</w:t>
            </w:r>
          </w:p>
          <w:p>
            <w:pPr>
              <w:spacing w:line="280" w:lineRule="exact"/>
              <w:jc w:val="center"/>
              <w:rPr>
                <w:b/>
                <w:bCs/>
                <w:sz w:val="44"/>
              </w:rPr>
            </w:pPr>
          </w:p>
        </w:tc>
        <w:tc>
          <w:tcPr>
            <w:tcW w:w="3238" w:type="dxa"/>
            <w:vAlign w:val="center"/>
          </w:tcPr>
          <w:p>
            <w:pPr>
              <w:spacing w:line="280" w:lineRule="exact"/>
              <w:jc w:val="left"/>
              <w:rPr>
                <w:highlight w:val="none"/>
              </w:rPr>
            </w:pPr>
            <w:r>
              <w:rPr>
                <w:rFonts w:hint="eastAsia"/>
                <w:highlight w:val="none"/>
              </w:rPr>
              <w:t>管理政府基金能力。管理机构过往有管理</w:t>
            </w:r>
            <w:r>
              <w:rPr>
                <w:rFonts w:hint="eastAsia"/>
                <w:highlight w:val="none"/>
                <w:lang w:eastAsia="zh-CN"/>
              </w:rPr>
              <w:t>政府</w:t>
            </w:r>
            <w:r>
              <w:rPr>
                <w:rFonts w:hint="eastAsia"/>
                <w:highlight w:val="none"/>
              </w:rPr>
              <w:t>股权基金经验且考核评价情况较好。</w:t>
            </w:r>
          </w:p>
        </w:tc>
        <w:tc>
          <w:tcPr>
            <w:tcW w:w="4135" w:type="dxa"/>
            <w:vAlign w:val="center"/>
          </w:tcPr>
          <w:p>
            <w:pPr>
              <w:spacing w:line="280" w:lineRule="exact"/>
              <w:jc w:val="left"/>
              <w:rPr>
                <w:highlight w:val="none"/>
              </w:rPr>
            </w:pPr>
            <w:r>
              <w:rPr>
                <w:rFonts w:hint="eastAsia"/>
                <w:highlight w:val="none"/>
              </w:rPr>
              <w:t>有管理经验且考核评价获“优秀”的，得10分，有管理经验且考核评价获“良好”的，得5 分，有管理经验但考核评价获“良好”以下的，不得分。</w:t>
            </w:r>
          </w:p>
        </w:tc>
        <w:tc>
          <w:tcPr>
            <w:tcW w:w="700" w:type="dxa"/>
            <w:vAlign w:val="center"/>
          </w:tcPr>
          <w:p>
            <w:pPr>
              <w:spacing w:line="280" w:lineRule="exact"/>
              <w:jc w:val="center"/>
              <w:rPr>
                <w:highlight w:val="none"/>
              </w:rPr>
            </w:pPr>
            <w:r>
              <w:rPr>
                <w:rFonts w:hint="eastAsia"/>
                <w:highlight w:val="none"/>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35" w:hRule="atLeast"/>
        </w:trPr>
        <w:tc>
          <w:tcPr>
            <w:tcW w:w="1328" w:type="dxa"/>
            <w:vMerge w:val="continue"/>
            <w:vAlign w:val="center"/>
          </w:tcPr>
          <w:p>
            <w:pPr>
              <w:spacing w:line="280" w:lineRule="exact"/>
              <w:jc w:val="center"/>
            </w:pPr>
          </w:p>
        </w:tc>
        <w:tc>
          <w:tcPr>
            <w:tcW w:w="3238" w:type="dxa"/>
            <w:vAlign w:val="center"/>
          </w:tcPr>
          <w:p>
            <w:pPr>
              <w:spacing w:line="280" w:lineRule="exact"/>
              <w:jc w:val="left"/>
            </w:pPr>
            <w:r>
              <w:rPr>
                <w:rFonts w:hint="eastAsia"/>
              </w:rPr>
              <w:t>本地服务能力。管理机构在安徽省内已设置固定办公场所并配备专属且稳定的管理团队。</w:t>
            </w:r>
          </w:p>
        </w:tc>
        <w:tc>
          <w:tcPr>
            <w:tcW w:w="4135" w:type="dxa"/>
            <w:vAlign w:val="center"/>
          </w:tcPr>
          <w:p>
            <w:pPr>
              <w:spacing w:line="280" w:lineRule="exact"/>
              <w:jc w:val="left"/>
            </w:pPr>
            <w:r>
              <w:rPr>
                <w:rFonts w:hint="eastAsia"/>
              </w:rPr>
              <w:t>在安徽省内设置固定办公场所且配备专属人员达到5人及以上得5分，在安徽省内设置固定办公场所且配备专属人员达到3-5（不含）人得3 分，在安徽省内设置固定办公场所但配备专属人员3 人以下不得分。</w:t>
            </w:r>
          </w:p>
        </w:tc>
        <w:tc>
          <w:tcPr>
            <w:tcW w:w="700" w:type="dxa"/>
            <w:vAlign w:val="center"/>
          </w:tcPr>
          <w:p>
            <w:pPr>
              <w:spacing w:line="280" w:lineRule="exact"/>
              <w:jc w:val="center"/>
            </w:pPr>
            <w: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25" w:hRule="atLeast"/>
        </w:trPr>
        <w:tc>
          <w:tcPr>
            <w:tcW w:w="1328" w:type="dxa"/>
            <w:vMerge w:val="continue"/>
          </w:tcPr>
          <w:p>
            <w:pPr>
              <w:spacing w:line="280" w:lineRule="exact"/>
              <w:jc w:val="center"/>
            </w:pPr>
          </w:p>
        </w:tc>
        <w:tc>
          <w:tcPr>
            <w:tcW w:w="3238" w:type="dxa"/>
          </w:tcPr>
          <w:p>
            <w:pPr>
              <w:spacing w:line="280" w:lineRule="exact"/>
              <w:jc w:val="left"/>
            </w:pPr>
            <w:r>
              <w:rPr>
                <w:rFonts w:hint="eastAsia"/>
              </w:rPr>
              <w:t>投后管理能力。管理机构提供后续增值服务的能力。</w:t>
            </w:r>
          </w:p>
        </w:tc>
        <w:tc>
          <w:tcPr>
            <w:tcW w:w="4135" w:type="dxa"/>
          </w:tcPr>
          <w:p>
            <w:pPr>
              <w:spacing w:line="280" w:lineRule="exact"/>
              <w:jc w:val="left"/>
            </w:pPr>
            <w:r>
              <w:rPr>
                <w:rFonts w:hint="eastAsia"/>
              </w:rPr>
              <w:t>由专家综合比较打分。优秀的，得 8-10 分；良好的，6-8 分；一般的，0-6 分。</w:t>
            </w:r>
          </w:p>
        </w:tc>
        <w:tc>
          <w:tcPr>
            <w:tcW w:w="700" w:type="dxa"/>
          </w:tcPr>
          <w:p>
            <w:pPr>
              <w:spacing w:line="280" w:lineRule="exact"/>
              <w:jc w:val="center"/>
            </w:pPr>
            <w:r>
              <w:rPr>
                <w:rFonts w:hint="eastAsia"/>
              </w:rPr>
              <w:t>10</w:t>
            </w:r>
          </w:p>
        </w:tc>
      </w:tr>
    </w:tbl>
    <w:p>
      <w:pPr>
        <w:spacing w:line="590" w:lineRule="atLeast"/>
        <w:rPr>
          <w:rFonts w:ascii="Times New Roman" w:hAnsi="Times New Roman"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4B10"/>
    <w:rsid w:val="00034029"/>
    <w:rsid w:val="00035E37"/>
    <w:rsid w:val="0005119C"/>
    <w:rsid w:val="00073456"/>
    <w:rsid w:val="000903A2"/>
    <w:rsid w:val="000C2C3F"/>
    <w:rsid w:val="000D76BE"/>
    <w:rsid w:val="000F7A7F"/>
    <w:rsid w:val="00114234"/>
    <w:rsid w:val="00125D6A"/>
    <w:rsid w:val="002328F0"/>
    <w:rsid w:val="00275089"/>
    <w:rsid w:val="002B165C"/>
    <w:rsid w:val="002C2D30"/>
    <w:rsid w:val="002C36FA"/>
    <w:rsid w:val="00383112"/>
    <w:rsid w:val="004461C2"/>
    <w:rsid w:val="004875DD"/>
    <w:rsid w:val="00494F47"/>
    <w:rsid w:val="004C0224"/>
    <w:rsid w:val="004D49B5"/>
    <w:rsid w:val="00511D4C"/>
    <w:rsid w:val="00515DA5"/>
    <w:rsid w:val="005440A2"/>
    <w:rsid w:val="005C2D41"/>
    <w:rsid w:val="0061561F"/>
    <w:rsid w:val="00643E8F"/>
    <w:rsid w:val="00675FEC"/>
    <w:rsid w:val="0068377A"/>
    <w:rsid w:val="00696336"/>
    <w:rsid w:val="006B4B10"/>
    <w:rsid w:val="006D3EAD"/>
    <w:rsid w:val="006E75A8"/>
    <w:rsid w:val="007A7B54"/>
    <w:rsid w:val="008012FE"/>
    <w:rsid w:val="008357FF"/>
    <w:rsid w:val="00850D51"/>
    <w:rsid w:val="00897FDA"/>
    <w:rsid w:val="008C5AFC"/>
    <w:rsid w:val="008E40D7"/>
    <w:rsid w:val="008F7285"/>
    <w:rsid w:val="009274A3"/>
    <w:rsid w:val="009438AA"/>
    <w:rsid w:val="00974717"/>
    <w:rsid w:val="009841DC"/>
    <w:rsid w:val="00997B4A"/>
    <w:rsid w:val="009B37EC"/>
    <w:rsid w:val="00A07791"/>
    <w:rsid w:val="00A229AE"/>
    <w:rsid w:val="00A418D9"/>
    <w:rsid w:val="00A54D8C"/>
    <w:rsid w:val="00A72196"/>
    <w:rsid w:val="00AA3622"/>
    <w:rsid w:val="00AC2C14"/>
    <w:rsid w:val="00AE6E2A"/>
    <w:rsid w:val="00AF4C5C"/>
    <w:rsid w:val="00B14AF5"/>
    <w:rsid w:val="00B46139"/>
    <w:rsid w:val="00B831D2"/>
    <w:rsid w:val="00BD7C8A"/>
    <w:rsid w:val="00C717BB"/>
    <w:rsid w:val="00C81CAF"/>
    <w:rsid w:val="00CB05DC"/>
    <w:rsid w:val="00CE0890"/>
    <w:rsid w:val="00D11738"/>
    <w:rsid w:val="00D705A6"/>
    <w:rsid w:val="00DB6504"/>
    <w:rsid w:val="00DD1741"/>
    <w:rsid w:val="00E27BD8"/>
    <w:rsid w:val="00E424CD"/>
    <w:rsid w:val="00E43D04"/>
    <w:rsid w:val="00EE565D"/>
    <w:rsid w:val="00EE6FA3"/>
    <w:rsid w:val="00F112BB"/>
    <w:rsid w:val="00F306B7"/>
    <w:rsid w:val="00F531D9"/>
    <w:rsid w:val="00F63622"/>
    <w:rsid w:val="00F91462"/>
    <w:rsid w:val="05336483"/>
    <w:rsid w:val="06111BB4"/>
    <w:rsid w:val="06214634"/>
    <w:rsid w:val="06D8356A"/>
    <w:rsid w:val="08945773"/>
    <w:rsid w:val="0B90143F"/>
    <w:rsid w:val="0BBA7FAD"/>
    <w:rsid w:val="0CC34165"/>
    <w:rsid w:val="105B53C7"/>
    <w:rsid w:val="117D3D25"/>
    <w:rsid w:val="12D37B1D"/>
    <w:rsid w:val="16316442"/>
    <w:rsid w:val="17DC0B09"/>
    <w:rsid w:val="1B4F02DA"/>
    <w:rsid w:val="1B6475D9"/>
    <w:rsid w:val="1D5712BE"/>
    <w:rsid w:val="1DE61049"/>
    <w:rsid w:val="1E0B0408"/>
    <w:rsid w:val="1E4E5A65"/>
    <w:rsid w:val="1E8F552B"/>
    <w:rsid w:val="1E9C27CE"/>
    <w:rsid w:val="224C7061"/>
    <w:rsid w:val="224E6794"/>
    <w:rsid w:val="247339CF"/>
    <w:rsid w:val="24DC2648"/>
    <w:rsid w:val="250A0A16"/>
    <w:rsid w:val="26775261"/>
    <w:rsid w:val="2A5E55D2"/>
    <w:rsid w:val="2F60168F"/>
    <w:rsid w:val="30B26743"/>
    <w:rsid w:val="31163FEE"/>
    <w:rsid w:val="35F40E78"/>
    <w:rsid w:val="36521016"/>
    <w:rsid w:val="3AFD155B"/>
    <w:rsid w:val="3B5248E6"/>
    <w:rsid w:val="3DE32DF0"/>
    <w:rsid w:val="4109312A"/>
    <w:rsid w:val="41CB7F72"/>
    <w:rsid w:val="426676E9"/>
    <w:rsid w:val="46C9219D"/>
    <w:rsid w:val="481C5C25"/>
    <w:rsid w:val="49647945"/>
    <w:rsid w:val="498151BE"/>
    <w:rsid w:val="4A8329F3"/>
    <w:rsid w:val="51661F13"/>
    <w:rsid w:val="518B79BC"/>
    <w:rsid w:val="57C31318"/>
    <w:rsid w:val="5B8A6388"/>
    <w:rsid w:val="5F0A321C"/>
    <w:rsid w:val="60222CFA"/>
    <w:rsid w:val="61D54486"/>
    <w:rsid w:val="61ED5F87"/>
    <w:rsid w:val="64531D78"/>
    <w:rsid w:val="68BB4E81"/>
    <w:rsid w:val="692365FA"/>
    <w:rsid w:val="69EF00B1"/>
    <w:rsid w:val="6A016364"/>
    <w:rsid w:val="6DA96A2C"/>
    <w:rsid w:val="6F383A6D"/>
    <w:rsid w:val="79E10C0C"/>
    <w:rsid w:val="7AF3062F"/>
    <w:rsid w:val="7D590B4A"/>
    <w:rsid w:val="7DD7295E"/>
    <w:rsid w:val="7E847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146</Words>
  <Characters>837</Characters>
  <Lines>6</Lines>
  <Paragraphs>1</Paragraphs>
  <TotalTime>0</TotalTime>
  <ScaleCrop>false</ScaleCrop>
  <LinksUpToDate>false</LinksUpToDate>
  <CharactersWithSpaces>982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2022-07-16T08:39:00Z</dcterms:created>
  <dc:creator>江山</dc:creator>
  <cp:lastModifiedBy>朱华翔</cp:lastModifiedBy>
  <dcterms:modified xsi:type="dcterms:W3CDTF">2022-08-16T02:22:22Z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