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eastAsia="方正小标宋简体"/>
          <w:sz w:val="44"/>
          <w:szCs w:val="44"/>
        </w:rPr>
        <w:t>固定资产投资项目节能承诺表</w:t>
      </w:r>
      <w:r>
        <w:rPr>
          <w:rFonts w:hint="eastAsia" w:eastAsia="方正小标宋简体"/>
          <w:sz w:val="44"/>
          <w:szCs w:val="44"/>
          <w:lang w:val="en-US" w:eastAsia="zh-CN"/>
        </w:rPr>
        <w:t>填表说明</w:t>
      </w:r>
    </w:p>
    <w:p>
      <w:pPr>
        <w:spacing w:line="600" w:lineRule="exact"/>
        <w:jc w:val="center"/>
        <w:rPr>
          <w:rFonts w:hint="eastAsia" w:eastAsia="方正小标宋简体"/>
          <w:sz w:val="44"/>
          <w:szCs w:val="44"/>
          <w:lang w:val="en-US" w:eastAsia="zh-CN"/>
        </w:rPr>
      </w:pPr>
    </w:p>
    <w:p>
      <w:pPr>
        <w:rPr>
          <w:rFonts w:eastAsia="仿宋_GB2312"/>
          <w:sz w:val="24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一、所有空格请勿缺项</w:t>
      </w:r>
    </w:p>
    <w:p>
      <w:pPr>
        <w:numPr>
          <w:ilvl w:val="-1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二、项目概况</w:t>
      </w:r>
    </w:p>
    <w:p>
      <w:pPr>
        <w:numPr>
          <w:ilvl w:val="-1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项目所属行业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请填写完整的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国民经济行业分类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lang w:val="en-US" w:eastAsia="zh-CN"/>
        </w:rPr>
        <w:t>如：C2911轮胎制造，如不清楚项目行业代码，请自行查询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国民经济行业分类（</w:t>
      </w:r>
      <w:r>
        <w:rPr>
          <w:rFonts w:hint="eastAsia" w:ascii="仿宋_GB2312" w:hAnsi="仿宋_GB2312" w:eastAsia="仿宋_GB2312" w:cs="仿宋_GB2312"/>
          <w:spacing w:val="-2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GB/T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4754—2017</w:t>
      </w:r>
      <w:r>
        <w:rPr>
          <w:rFonts w:hint="eastAsia" w:ascii="仿宋_GB2312" w:hAnsi="仿宋_GB2312" w:eastAsia="仿宋_GB2312" w:cs="仿宋_GB2312"/>
          <w:spacing w:val="-2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；</w:t>
      </w:r>
    </w:p>
    <w:p>
      <w:pPr>
        <w:numPr>
          <w:ilvl w:val="-1"/>
          <w:numId w:val="0"/>
        </w:numPr>
        <w:ind w:firstLine="616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pacing w:val="-6"/>
          <w:sz w:val="32"/>
          <w:szCs w:val="32"/>
          <w:lang w:val="en-US" w:eastAsia="zh-CN"/>
        </w:rPr>
        <w:t>项目代码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为20位数字组合；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三、年耗能量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能源种类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按实际项目耗能种类填写，如项目仅消耗电力，则煤炭、热力等其他能源种类无需填写，如有表格中未包含的能源种类，请自行添加。各种类能源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年耗能量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=该种类能源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年需要实物量*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该种类能源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折标系数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（注意单位统一）；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项目年耗能总量（吨标准煤）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为上列各种类能源年耗能量之和，注意区别等价值和当量值（区别主要在年需要实物量乘以不同的等价系数）。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  <w:t>四、能效指标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单位产品能耗（吨标准煤/产品单位）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=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</w:rPr>
        <w:t>项目年耗能总量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等价值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/年产品产量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单位增加值能耗（吨标准煤/万元）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=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</w:rPr>
        <w:t>项目年耗能总量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等价值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/项目年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>工业增加值</w:t>
      </w:r>
    </w:p>
    <w:p>
      <w:pPr>
        <w:numPr>
          <w:ilvl w:val="0"/>
          <w:numId w:val="0"/>
        </w:numPr>
        <w:spacing w:before="0" w:line="240" w:lineRule="auto"/>
        <w:ind w:firstLine="640" w:firstLineChars="200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项目能耗测算说明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说明主要用能设备，各设备用能情况，简述项目能耗测算过程。如：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（1）电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生产车间及辅助设备装机容量约1100kW；其它用电负荷50kW，主要供办公、生活照明使用。项目用电设备利用系数按0.6计算，生产及辅助设备每天工作10小时，建筑照明按每天6小时计算，据此计算，生产年用电量为3OO万KWh，照明用电9万KWh，年综合耗电量为309万kWh，折标准煤368.7吨。</w:t>
      </w:r>
    </w:p>
    <w:p>
      <w:pPr>
        <w:numPr>
          <w:ilvl w:val="0"/>
          <w:numId w:val="0"/>
        </w:numPr>
        <w:ind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计算公式：309万kWh*1.229kgce/kWh=368.7吨标准煤（当量值）</w:t>
      </w:r>
    </w:p>
    <w:p>
      <w:pPr>
        <w:numPr>
          <w:ilvl w:val="0"/>
          <w:numId w:val="0"/>
        </w:numPr>
        <w:ind w:leftChars="0" w:firstLine="1280" w:firstLineChars="4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309万kWh*2.964kgce/kWh=915.9吨标准煤（等价值）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（2）水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用水主要是生活用水和绿化用水。生活用水量按150人，人均消耗50升/天计算，生活用水7.5立方米/天，生活用水经估算2250立方米/年；绿化用水按照0.3立方米/平方米·年估算，本项目绿化面积1360.42平方米，则绿化用水量为408立方米。项目全年生活用水和绿化用水量为2658立方米，折标准煤0.23吨。</w:t>
      </w:r>
    </w:p>
    <w:p>
      <w:pPr>
        <w:numPr>
          <w:ilvl w:val="0"/>
          <w:numId w:val="0"/>
        </w:numPr>
        <w:spacing w:before="0" w:line="240" w:lineRule="auto"/>
        <w:ind w:firstLine="640" w:firstLineChars="200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计算公式：0.2658万立方米*0.857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=0.23吨标准煤</w:t>
      </w:r>
    </w:p>
    <w:p>
      <w:pPr>
        <w:numPr>
          <w:ilvl w:val="-1"/>
          <w:numId w:val="0"/>
        </w:numPr>
        <w:spacing w:before="0" w:line="240" w:lineRule="auto"/>
        <w:ind w:firstLine="643" w:firstLineChars="200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val="zh-CN"/>
        </w:rPr>
        <w:t>项目节能措施简述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/>
        </w:rPr>
        <w:t>（采用的节能设计标准、规范以及节能新技术、新产品并说明项 目能源利用效率）：</w:t>
      </w:r>
    </w:p>
    <w:p>
      <w:pPr>
        <w:numPr>
          <w:ilvl w:val="-1"/>
          <w:numId w:val="0"/>
        </w:numPr>
        <w:spacing w:before="0" w:line="240" w:lineRule="auto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spacing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如：1、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/>
        </w:rPr>
        <w:t>各建筑物的设计尽量采用自然采光，满足工艺生产操作窗地比及人员生活需要。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/>
        </w:rPr>
        <w:t>建筑围护结构的保温隔热性能（使用隔热效果较好的环保、节能型建筑材料，可有效减少通过围护结构的传热，从而增加外墙保温隔热效果，达到显著的节能目的）。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/>
        </w:rPr>
        <w:t>门窗将选用新型保温节能门窗，减少门窗散热。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/>
        </w:rPr>
        <w:t>项目所有新增设备，均系国家推荐的产品及引进国外的先进设备，且多数设备均系高精度、高效设备，设计中还考虑了尽量提高设备利用率的措施，以达到节能降耗的目的。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/>
        </w:rPr>
        <w:t>电力供电系统的电损主要为供电线路的有无功率。机电设备采用静电电容补偿方式，提高功率因数到0.90以上，以降低电耗、节约能源。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/>
        </w:rPr>
        <w:t>采用高效灯具、光源及节能型电感镇流器或电子镇流器。照明光源选用发光率高、节电的产品，如金属卤化物灯、高压钠灯、高压汞灯、荧光灯等</w:t>
      </w:r>
    </w:p>
    <w:p>
      <w:pPr>
        <w:numPr>
          <w:ilvl w:val="0"/>
          <w:numId w:val="0"/>
        </w:numPr>
        <w:spacing w:before="0" w:line="24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pacing w:val="0"/>
          <w:sz w:val="32"/>
          <w:szCs w:val="32"/>
        </w:rPr>
        <w:t>本单位郑重承诺：</w:t>
      </w:r>
    </w:p>
    <w:p>
      <w:pPr>
        <w:numPr>
          <w:ilvl w:val="0"/>
          <w:numId w:val="0"/>
        </w:numPr>
        <w:spacing w:before="0" w:line="240" w:lineRule="auto"/>
        <w:ind w:left="0" w:right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如项目不属于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国家发展改革委《不单独进行节能审查的行业目录》（发改环资规 〔2017〕1975号）中行业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第2点空格处填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即可。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pacing w:val="-10"/>
          <w:sz w:val="24"/>
          <w:lang w:val="en-US" w:eastAsia="zh-CN"/>
        </w:rPr>
      </w:pPr>
    </w:p>
    <w:sectPr>
      <w:pgSz w:w="11906" w:h="16838"/>
      <w:pgMar w:top="2041" w:right="1587" w:bottom="204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D47F0B"/>
    <w:rsid w:val="0BD47F0B"/>
    <w:rsid w:val="3237356F"/>
    <w:rsid w:val="6E24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2022-02-17T06:54:00Z</dcterms:created>
  <dc:creator>cyh</dc:creator>
  <cp:lastModifiedBy>崔玉浩</cp:lastModifiedBy>
  <dcterms:modified xsi:type="dcterms:W3CDTF">2022-02-18T07:09:05Z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E324D51A819F4AAEA5423BDC8E0DBDD3</vt:lpwstr>
  </property>
</Properties>
</file>