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000000"/>
          <w:sz w:val="44"/>
          <w:szCs w:val="44"/>
        </w:rPr>
      </w:pPr>
    </w:p>
    <w:p>
      <w:pPr>
        <w:jc w:val="center"/>
        <w:outlineLvl w:val="0"/>
        <w:rPr>
          <w:rFonts w:eastAsia="方正小标宋简体"/>
          <w:color w:val="000000"/>
          <w:sz w:val="52"/>
          <w:szCs w:val="52"/>
        </w:rPr>
      </w:pPr>
    </w:p>
    <w:p>
      <w:pPr>
        <w:jc w:val="center"/>
        <w:outlineLvl w:val="0"/>
        <w:rPr>
          <w:rFonts w:eastAsia="方正小标宋简体"/>
          <w:color w:val="000000"/>
          <w:sz w:val="52"/>
          <w:szCs w:val="52"/>
        </w:rPr>
      </w:pPr>
    </w:p>
    <w:p>
      <w:pPr>
        <w:jc w:val="center"/>
        <w:outlineLvl w:val="0"/>
        <w:rPr>
          <w:rFonts w:eastAsia="方正小标宋简体"/>
          <w:color w:val="000000"/>
          <w:sz w:val="52"/>
          <w:szCs w:val="52"/>
        </w:rPr>
      </w:pPr>
    </w:p>
    <w:p>
      <w:pPr>
        <w:jc w:val="center"/>
        <w:outlineLvl w:val="0"/>
        <w:rPr>
          <w:rFonts w:eastAsia="方正小标宋简体"/>
          <w:color w:val="000000"/>
          <w:sz w:val="52"/>
          <w:szCs w:val="52"/>
        </w:rPr>
      </w:pPr>
    </w:p>
    <w:p>
      <w:pPr>
        <w:jc w:val="center"/>
        <w:outlineLvl w:val="0"/>
        <w:rPr>
          <w:rFonts w:hint="eastAsia" w:eastAsia="方正小标宋简体"/>
          <w:color w:val="000000"/>
          <w:sz w:val="52"/>
          <w:szCs w:val="52"/>
          <w:lang w:eastAsia="zh-CN"/>
        </w:rPr>
      </w:pPr>
      <w:r>
        <w:rPr>
          <w:rFonts w:hint="eastAsia" w:eastAsia="方正小标宋简体"/>
          <w:color w:val="000000"/>
          <w:sz w:val="52"/>
          <w:szCs w:val="52"/>
        </w:rPr>
        <w:t>合肥市大数据企业认定</w:t>
      </w:r>
      <w:r>
        <w:rPr>
          <w:rFonts w:hint="eastAsia" w:eastAsia="方正小标宋简体"/>
          <w:color w:val="000000"/>
          <w:sz w:val="52"/>
          <w:szCs w:val="52"/>
          <w:lang w:eastAsia="zh-CN"/>
        </w:rPr>
        <w:t>申报书</w:t>
      </w:r>
    </w:p>
    <w:p>
      <w:pPr>
        <w:jc w:val="center"/>
        <w:outlineLvl w:val="0"/>
        <w:rPr>
          <w:rFonts w:hint="eastAsia" w:eastAsia="方正小标宋简体"/>
          <w:color w:val="000000"/>
          <w:sz w:val="52"/>
          <w:szCs w:val="52"/>
          <w:lang w:eastAsia="zh-CN"/>
        </w:rPr>
      </w:pPr>
      <w:r>
        <w:rPr>
          <w:rFonts w:hint="eastAsia" w:eastAsia="方正小标宋简体"/>
          <w:color w:val="000000"/>
          <w:sz w:val="52"/>
          <w:szCs w:val="52"/>
          <w:lang w:eastAsia="zh-CN"/>
        </w:rPr>
        <w:t>（模板）</w:t>
      </w:r>
    </w:p>
    <w:p>
      <w:pPr>
        <w:jc w:val="center"/>
        <w:outlineLvl w:val="0"/>
        <w:rPr>
          <w:rFonts w:eastAsia="方正小标宋简体"/>
          <w:color w:val="000000"/>
          <w:sz w:val="52"/>
          <w:szCs w:val="52"/>
        </w:rPr>
      </w:pPr>
    </w:p>
    <w:p>
      <w:pPr>
        <w:jc w:val="center"/>
        <w:outlineLvl w:val="0"/>
        <w:rPr>
          <w:rFonts w:eastAsia="方正小标宋简体"/>
          <w:color w:val="000000"/>
          <w:sz w:val="52"/>
          <w:szCs w:val="52"/>
        </w:rPr>
      </w:pPr>
    </w:p>
    <w:p>
      <w:pPr>
        <w:jc w:val="center"/>
        <w:outlineLvl w:val="0"/>
        <w:rPr>
          <w:rFonts w:eastAsia="方正小标宋简体"/>
          <w:color w:val="000000"/>
          <w:sz w:val="52"/>
          <w:szCs w:val="52"/>
        </w:rPr>
      </w:pPr>
    </w:p>
    <w:p>
      <w:pPr>
        <w:jc w:val="center"/>
        <w:outlineLvl w:val="0"/>
        <w:rPr>
          <w:rFonts w:eastAsia="方正小标宋简体"/>
          <w:color w:val="000000"/>
          <w:sz w:val="52"/>
          <w:szCs w:val="52"/>
        </w:rPr>
      </w:pPr>
    </w:p>
    <w:p>
      <w:pPr>
        <w:jc w:val="center"/>
        <w:outlineLvl w:val="0"/>
        <w:rPr>
          <w:rFonts w:eastAsia="方正小标宋简体"/>
          <w:color w:val="000000"/>
          <w:sz w:val="52"/>
          <w:szCs w:val="52"/>
        </w:rPr>
      </w:pPr>
    </w:p>
    <w:p>
      <w:pPr>
        <w:jc w:val="center"/>
        <w:outlineLvl w:val="0"/>
        <w:rPr>
          <w:rFonts w:eastAsia="方正小标宋简体"/>
          <w:color w:val="000000"/>
          <w:sz w:val="52"/>
          <w:szCs w:val="52"/>
        </w:rPr>
      </w:pPr>
    </w:p>
    <w:p>
      <w:pPr>
        <w:jc w:val="center"/>
        <w:outlineLvl w:val="0"/>
        <w:rPr>
          <w:rFonts w:eastAsia="方正仿宋_GBK" w:cs="方正仿宋_GBK"/>
          <w:color w:val="000000"/>
          <w:sz w:val="44"/>
          <w:szCs w:val="44"/>
        </w:rPr>
      </w:pPr>
      <w:r>
        <w:rPr>
          <w:rFonts w:hint="eastAsia" w:eastAsia="方正仿宋_GBK" w:cs="方正仿宋_GBK"/>
          <w:color w:val="000000"/>
          <w:sz w:val="44"/>
          <w:szCs w:val="44"/>
        </w:rPr>
        <w:t>合肥市数据资源局</w:t>
      </w:r>
    </w:p>
    <w:p>
      <w:pPr>
        <w:jc w:val="center"/>
        <w:outlineLvl w:val="0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仿宋_GBK" w:cs="方正仿宋_GBK"/>
          <w:color w:val="000000"/>
          <w:sz w:val="44"/>
          <w:szCs w:val="44"/>
        </w:rPr>
        <w:t>2022年7月</w:t>
      </w:r>
    </w:p>
    <w:p>
      <w:pPr>
        <w:jc w:val="center"/>
        <w:rPr>
          <w:rFonts w:ascii="仿宋" w:hAnsi="仿宋" w:eastAsia="仿宋"/>
          <w:color w:val="000000"/>
          <w:szCs w:val="32"/>
        </w:rPr>
      </w:pPr>
    </w:p>
    <w:p>
      <w:pPr>
        <w:jc w:val="center"/>
        <w:rPr>
          <w:rFonts w:ascii="仿宋" w:hAnsi="仿宋" w:eastAsia="仿宋"/>
          <w:color w:val="000000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仿宋_GB2312" w:hAnsi="仿宋"/>
          <w:szCs w:val="32"/>
        </w:rPr>
      </w:pPr>
    </w:p>
    <w:p>
      <w:pPr>
        <w:widowControl/>
        <w:jc w:val="center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参考模板说明</w:t>
      </w:r>
    </w:p>
    <w:p>
      <w:pPr>
        <w:widowControl/>
        <w:jc w:val="center"/>
        <w:rPr>
          <w:rFonts w:ascii="仿宋_GB2312" w:hAnsi="仿宋"/>
          <w:szCs w:val="32"/>
        </w:rPr>
      </w:pPr>
    </w:p>
    <w:p>
      <w:pPr>
        <w:widowControl/>
        <w:ind w:firstLine="640" w:firstLineChars="200"/>
        <w:jc w:val="left"/>
        <w:rPr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szCs w:val="32"/>
        </w:rPr>
        <w:t>本参考模板</w:t>
      </w:r>
      <w:r>
        <w:rPr>
          <w:rFonts w:hint="eastAsia" w:ascii="仿宋_GB2312" w:hAnsi="仿宋"/>
          <w:szCs w:val="32"/>
          <w:lang w:eastAsia="zh-CN"/>
        </w:rPr>
        <w:t>仅供</w:t>
      </w:r>
      <w:r>
        <w:rPr>
          <w:rFonts w:hint="eastAsia" w:ascii="仿宋_GB2312" w:hAnsi="仿宋"/>
          <w:szCs w:val="32"/>
          <w:lang w:val="en-US" w:eastAsia="zh-CN"/>
        </w:rPr>
        <w:t>2022年度合肥市大数据企业认定及复审使用</w:t>
      </w:r>
      <w:r>
        <w:rPr>
          <w:rFonts w:hint="eastAsia" w:ascii="仿宋_GB2312" w:hAnsi="仿宋"/>
          <w:szCs w:val="32"/>
        </w:rPr>
        <w:t>。申报企业可按照模板准备材料，待申报系统端口开放后按要求填报</w:t>
      </w:r>
      <w:r>
        <w:rPr>
          <w:rFonts w:hint="eastAsia"/>
        </w:rPr>
        <w:t>。所需材料应语言精炼，突出重点、亮点，切忌堆砌重复。</w:t>
      </w:r>
      <w:r>
        <w:rPr>
          <w:rFonts w:hint="eastAsia" w:ascii="仿宋_GB2312" w:hAnsi="仿宋"/>
          <w:szCs w:val="32"/>
        </w:rPr>
        <w:t>各类信息、数据前后应表述一致</w:t>
      </w:r>
      <w:r>
        <w:rPr>
          <w:rFonts w:hint="eastAsia"/>
        </w:rPr>
        <w:t>。材料应保证字迹、图片清晰。</w:t>
      </w:r>
    </w:p>
    <w:p>
      <w:pPr>
        <w:widowControl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/>
          <w:color w:val="000000"/>
          <w:sz w:val="44"/>
        </w:rPr>
        <w:br w:type="page"/>
      </w:r>
    </w:p>
    <w:p>
      <w:pPr>
        <w:widowControl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目  录</w:t>
      </w:r>
    </w:p>
    <w:p>
      <w:pPr>
        <w:numPr>
          <w:ilvl w:val="0"/>
          <w:numId w:val="1"/>
        </w:numPr>
        <w:spacing w:line="580" w:lineRule="exact"/>
      </w:pPr>
      <w:r>
        <w:rPr>
          <w:rFonts w:hint="eastAsia"/>
        </w:rPr>
        <w:t>企业承诺书</w:t>
      </w:r>
      <w:r>
        <w:rPr>
          <w:rFonts w:hint="eastAsia" w:ascii="宋体" w:hAnsi="宋体" w:eastAsia="宋体" w:cs="宋体"/>
          <w:szCs w:val="32"/>
        </w:rPr>
        <w:t>…………………………………………………</w:t>
      </w:r>
      <w:r>
        <w:rPr>
          <w:rFonts w:hint="eastAsia" w:eastAsia="宋体"/>
        </w:rPr>
        <w:t>1</w:t>
      </w:r>
    </w:p>
    <w:p>
      <w:pPr>
        <w:spacing w:line="580" w:lineRule="exact"/>
        <w:jc w:val="left"/>
      </w:pPr>
      <w:r>
        <w:rPr>
          <w:rFonts w:hint="eastAsia"/>
        </w:rPr>
        <w:t>2. 企业主要情况表</w:t>
      </w:r>
      <w:r>
        <w:rPr>
          <w:rFonts w:hint="eastAsia" w:ascii="宋体" w:hAnsi="宋体" w:eastAsia="宋体" w:cs="宋体"/>
          <w:szCs w:val="32"/>
        </w:rPr>
        <w:t>……………………………………………2</w:t>
      </w:r>
    </w:p>
    <w:p>
      <w:pPr>
        <w:spacing w:line="580" w:lineRule="exact"/>
        <w:rPr>
          <w:rFonts w:ascii="仿宋_GB2312" w:hAnsi="黑体" w:eastAsia="宋体"/>
          <w:szCs w:val="32"/>
        </w:rPr>
      </w:pPr>
      <w:r>
        <w:rPr>
          <w:rFonts w:hint="eastAsia"/>
        </w:rPr>
        <w:t xml:space="preserve">3. </w:t>
      </w:r>
      <w:r>
        <w:rPr>
          <w:rFonts w:hint="eastAsia"/>
          <w:lang w:eastAsia="zh-CN"/>
        </w:rPr>
        <w:t>证明</w:t>
      </w:r>
      <w:r>
        <w:rPr>
          <w:rFonts w:hint="eastAsia"/>
        </w:rPr>
        <w:t>材料清单</w:t>
      </w:r>
      <w:r>
        <w:rPr>
          <w:rFonts w:hint="eastAsia" w:ascii="宋体" w:hAnsi="宋体" w:eastAsia="宋体" w:cs="宋体"/>
          <w:szCs w:val="32"/>
        </w:rPr>
        <w:t>………………………………………………</w:t>
      </w:r>
      <w:r>
        <w:rPr>
          <w:rFonts w:hint="eastAsia" w:eastAsia="宋体"/>
        </w:rPr>
        <w:t>5</w:t>
      </w:r>
    </w:p>
    <w:p>
      <w:pPr>
        <w:widowControl/>
        <w:jc w:val="left"/>
        <w:rPr>
          <w:rFonts w:ascii="方正小标宋简体" w:eastAsia="方正小标宋简体"/>
          <w:color w:val="000000"/>
          <w:sz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方正小标宋简体" w:eastAsia="方正小标宋简体"/>
          <w:color w:val="000000"/>
          <w:sz w:val="44"/>
        </w:rPr>
        <w:br w:type="page"/>
      </w:r>
    </w:p>
    <w:p>
      <w:pPr>
        <w:autoSpaceDN w:val="0"/>
        <w:spacing w:line="580" w:lineRule="exact"/>
        <w:jc w:val="center"/>
        <w:textAlignment w:val="center"/>
        <w:outlineLvl w:val="1"/>
        <w:rPr>
          <w:rFonts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企业承诺书</w:t>
      </w:r>
    </w:p>
    <w:p>
      <w:pPr>
        <w:autoSpaceDN w:val="0"/>
        <w:spacing w:line="580" w:lineRule="exact"/>
        <w:jc w:val="left"/>
        <w:textAlignment w:val="center"/>
        <w:rPr>
          <w:color w:val="000000"/>
        </w:rPr>
      </w:pPr>
    </w:p>
    <w:p>
      <w:pPr>
        <w:autoSpaceDN w:val="0"/>
        <w:spacing w:line="580" w:lineRule="exact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一、本企业</w:t>
      </w:r>
      <w:r>
        <w:rPr>
          <w:rFonts w:hint="eastAsia"/>
          <w:color w:val="000000"/>
        </w:rPr>
        <w:t>自愿</w:t>
      </w:r>
      <w:r>
        <w:rPr>
          <w:color w:val="000000"/>
        </w:rPr>
        <w:t>遵守《</w:t>
      </w:r>
      <w:r>
        <w:rPr>
          <w:rFonts w:hint="eastAsia"/>
          <w:color w:val="000000"/>
        </w:rPr>
        <w:t>合肥市大数据企业认定</w:t>
      </w:r>
      <w:r>
        <w:rPr>
          <w:color w:val="000000"/>
        </w:rPr>
        <w:t>管理办法》及相关文件规定</w:t>
      </w:r>
      <w:r>
        <w:rPr>
          <w:rFonts w:hint="eastAsia"/>
          <w:color w:val="000000"/>
        </w:rPr>
        <w:t>，接受合肥市数据资源局对市级大数据企业的监督管理。</w:t>
      </w:r>
    </w:p>
    <w:p>
      <w:pPr>
        <w:autoSpaceDN w:val="0"/>
        <w:spacing w:line="580" w:lineRule="exact"/>
        <w:ind w:firstLine="640" w:firstLineChars="200"/>
        <w:textAlignment w:val="center"/>
        <w:rPr>
          <w:color w:val="000000"/>
        </w:rPr>
      </w:pPr>
      <w:r>
        <w:rPr>
          <w:rFonts w:hint="eastAsia"/>
          <w:color w:val="000000"/>
        </w:rPr>
        <w:t>二、本企业近三年未发生过重大安全、重大质量事故或有严重环境违法行为，未发生过重大群体事件并造成恶劣社会影响，未发生严重失信或违法违规行为。</w:t>
      </w:r>
    </w:p>
    <w:p>
      <w:pPr>
        <w:autoSpaceDN w:val="0"/>
        <w:spacing w:line="580" w:lineRule="exact"/>
        <w:ind w:firstLine="640" w:firstLineChars="200"/>
        <w:textAlignment w:val="center"/>
        <w:rPr>
          <w:color w:val="000000"/>
        </w:rPr>
      </w:pPr>
      <w:r>
        <w:rPr>
          <w:rFonts w:hint="eastAsia"/>
          <w:color w:val="000000"/>
        </w:rPr>
        <w:t>三、本企业承诺所报送的所有信息及材料</w:t>
      </w:r>
      <w:r>
        <w:rPr>
          <w:color w:val="000000"/>
        </w:rPr>
        <w:t>均准确、真实、合法、有效、无涉密信息</w:t>
      </w:r>
      <w:r>
        <w:rPr>
          <w:rFonts w:hint="eastAsia"/>
          <w:color w:val="000000"/>
        </w:rPr>
        <w:t>，本企业对申报材料的真实性负责。申报过程如有弄虚作假行为的</w:t>
      </w:r>
      <w:r>
        <w:rPr>
          <w:color w:val="000000"/>
        </w:rPr>
        <w:t>，</w:t>
      </w:r>
      <w:r>
        <w:rPr>
          <w:rFonts w:hint="eastAsia"/>
          <w:color w:val="000000"/>
        </w:rPr>
        <w:t>经核查确认，</w:t>
      </w:r>
      <w:r>
        <w:rPr>
          <w:color w:val="000000"/>
        </w:rPr>
        <w:t>愿</w:t>
      </w:r>
      <w:r>
        <w:rPr>
          <w:rFonts w:hint="eastAsia"/>
          <w:color w:val="000000"/>
        </w:rPr>
        <w:t>按要求取消认定资格并退回所得奖补，将本企业纳入失信黑名单，接受失信联合惩戒，并承担相应的法律责任，3年内不得申报大数据企业</w:t>
      </w:r>
      <w:r>
        <w:rPr>
          <w:color w:val="000000"/>
        </w:rPr>
        <w:t>。</w:t>
      </w:r>
    </w:p>
    <w:p>
      <w:pPr>
        <w:autoSpaceDN w:val="0"/>
        <w:spacing w:line="580" w:lineRule="exact"/>
        <w:ind w:firstLine="640" w:firstLineChars="200"/>
        <w:textAlignment w:val="center"/>
        <w:rPr>
          <w:color w:val="000000"/>
        </w:rPr>
      </w:pPr>
    </w:p>
    <w:p>
      <w:pPr>
        <w:autoSpaceDN w:val="0"/>
        <w:spacing w:line="580" w:lineRule="exact"/>
        <w:jc w:val="left"/>
        <w:textAlignment w:val="center"/>
        <w:rPr>
          <w:color w:val="000000"/>
        </w:rPr>
      </w:pPr>
    </w:p>
    <w:p>
      <w:pPr>
        <w:autoSpaceDN w:val="0"/>
        <w:spacing w:line="580" w:lineRule="exact"/>
        <w:ind w:firstLine="1600" w:firstLineChars="500"/>
        <w:jc w:val="right"/>
        <w:textAlignment w:val="center"/>
        <w:rPr>
          <w:color w:val="000000"/>
        </w:rPr>
      </w:pPr>
    </w:p>
    <w:p>
      <w:pPr>
        <w:autoSpaceDN w:val="0"/>
        <w:spacing w:line="580" w:lineRule="exact"/>
        <w:ind w:firstLine="1600" w:firstLineChars="500"/>
        <w:jc w:val="right"/>
        <w:textAlignment w:val="center"/>
        <w:rPr>
          <w:color w:val="000000"/>
        </w:rPr>
      </w:pPr>
    </w:p>
    <w:p>
      <w:pPr>
        <w:autoSpaceDN w:val="0"/>
        <w:spacing w:line="580" w:lineRule="exact"/>
        <w:ind w:firstLine="1600" w:firstLineChars="500"/>
        <w:jc w:val="right"/>
        <w:textAlignment w:val="center"/>
        <w:rPr>
          <w:color w:val="000000"/>
        </w:rPr>
      </w:pPr>
    </w:p>
    <w:p>
      <w:pPr>
        <w:autoSpaceDN w:val="0"/>
        <w:spacing w:line="580" w:lineRule="exact"/>
        <w:ind w:firstLine="1600" w:firstLineChars="500"/>
        <w:jc w:val="right"/>
        <w:textAlignment w:val="center"/>
        <w:rPr>
          <w:color w:val="000000"/>
        </w:rPr>
      </w:pPr>
      <w:r>
        <w:rPr>
          <w:color w:val="000000"/>
        </w:rPr>
        <w:t>（法人</w:t>
      </w:r>
      <w:r>
        <w:rPr>
          <w:rFonts w:hint="eastAsia"/>
          <w:color w:val="000000"/>
        </w:rPr>
        <w:t>签字加盖</w:t>
      </w:r>
      <w:r>
        <w:rPr>
          <w:color w:val="000000"/>
        </w:rPr>
        <w:t>企业公章）</w:t>
      </w:r>
    </w:p>
    <w:p>
      <w:pPr>
        <w:spacing w:line="580" w:lineRule="exact"/>
        <w:rPr>
          <w:color w:val="000000"/>
        </w:rPr>
      </w:pPr>
      <w:r>
        <w:rPr>
          <w:color w:val="000000"/>
        </w:rPr>
        <w:t xml:space="preserve">                   </w:t>
      </w:r>
      <w:r>
        <w:rPr>
          <w:rFonts w:hint="eastAsia"/>
          <w:color w:val="000000"/>
        </w:rPr>
        <w:t xml:space="preserve">          </w:t>
      </w:r>
      <w:r>
        <w:rPr>
          <w:color w:val="000000"/>
        </w:rPr>
        <w:t xml:space="preserve">       年    月    日</w:t>
      </w:r>
      <w:r>
        <w:rPr>
          <w:rFonts w:hint="eastAsia"/>
          <w:color w:val="000000"/>
        </w:rPr>
        <w:t xml:space="preserve">  </w:t>
      </w:r>
    </w:p>
    <w:p>
      <w:pPr>
        <w:widowControl/>
        <w:spacing w:line="580" w:lineRule="exact"/>
        <w:rPr>
          <w:rFonts w:eastAsia="方正小标宋简体"/>
          <w:color w:val="000000"/>
          <w:sz w:val="44"/>
          <w:szCs w:val="44"/>
        </w:rPr>
      </w:pPr>
      <w:r>
        <w:rPr>
          <w:color w:val="000000"/>
          <w:sz w:val="30"/>
          <w:szCs w:val="24"/>
        </w:rPr>
        <w:br w:type="page"/>
      </w:r>
    </w:p>
    <w:tbl>
      <w:tblPr>
        <w:tblStyle w:val="6"/>
        <w:tblpPr w:leftFromText="180" w:rightFromText="180" w:vertAnchor="text" w:horzAnchor="page" w:tblpX="1277" w:tblpY="349"/>
        <w:tblOverlap w:val="never"/>
        <w:tblW w:w="9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8"/>
        <w:gridCol w:w="1115"/>
        <w:gridCol w:w="630"/>
        <w:gridCol w:w="907"/>
        <w:gridCol w:w="823"/>
        <w:gridCol w:w="132"/>
        <w:gridCol w:w="1168"/>
        <w:gridCol w:w="1040"/>
        <w:gridCol w:w="264"/>
        <w:gridCol w:w="1261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9443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企业主要情况表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250" w:type="dxa"/>
            <w:gridSpan w:val="9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kern w:val="0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7250" w:type="dxa"/>
            <w:gridSpan w:val="9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企业规模</w:t>
            </w:r>
          </w:p>
        </w:tc>
        <w:tc>
          <w:tcPr>
            <w:tcW w:w="7250" w:type="dxa"/>
            <w:gridSpan w:val="9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（根据《统计上大中小型企业划分办法（暂行）》划分）列表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资本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所在市、县区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通信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申报联系人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pStyle w:val="2"/>
              <w:widowControl/>
              <w:adjustRightInd/>
              <w:spacing w:after="0" w:line="400" w:lineRule="exact"/>
              <w:ind w:firstLine="0" w:firstLineChars="0"/>
              <w:jc w:val="center"/>
              <w:rPr>
                <w:rFonts w:ascii="Times New Roman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研发人员数量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7250" w:type="dxa"/>
            <w:gridSpan w:val="9"/>
            <w:vAlign w:val="center"/>
          </w:tcPr>
          <w:p>
            <w:pPr>
              <w:widowControl/>
              <w:snapToGrid w:val="0"/>
              <w:spacing w:line="400" w:lineRule="exact"/>
              <w:rPr>
                <w:color w:val="000000" w:themeColor="text1"/>
                <w:spacing w:val="-6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国有企业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民营企业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1" w:hRule="atLeast"/>
        </w:trPr>
        <w:tc>
          <w:tcPr>
            <w:tcW w:w="219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业务类型（单选） </w:t>
            </w:r>
          </w:p>
        </w:tc>
        <w:tc>
          <w:tcPr>
            <w:tcW w:w="4758" w:type="dxa"/>
            <w:gridSpan w:val="5"/>
            <w:vAlign w:val="center"/>
          </w:tcPr>
          <w:p>
            <w:pPr>
              <w:jc w:val="center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主要业务（可多选）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5" w:hRule="atLeast"/>
        </w:trPr>
        <w:tc>
          <w:tcPr>
            <w:tcW w:w="219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大数据服务</w:t>
            </w:r>
          </w:p>
        </w:tc>
        <w:tc>
          <w:tcPr>
            <w:tcW w:w="4758" w:type="dxa"/>
            <w:gridSpan w:val="5"/>
            <w:vAlign w:val="center"/>
          </w:tcPr>
          <w:p>
            <w:pP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数据收集（生成、采集）　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数据存储　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数据加工（清洗、标注、脱敏、脱密等）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数据计算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数据分析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数据传输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数据可视化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数据流通（共享、开放、交易）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数据安全 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0" w:hRule="atLeast"/>
        </w:trPr>
        <w:tc>
          <w:tcPr>
            <w:tcW w:w="219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大数据应用</w:t>
            </w:r>
          </w:p>
        </w:tc>
        <w:tc>
          <w:tcPr>
            <w:tcW w:w="4758" w:type="dxa"/>
            <w:gridSpan w:val="5"/>
            <w:vAlign w:val="center"/>
          </w:tcPr>
          <w:p>
            <w:pP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工业大数据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农业大数据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水利大数据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金融大数据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教育大数据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医疗大数据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交通大数据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物流大数据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公安大数据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电力大数据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信用大数据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就业大数据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社保大数据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应急管理大数据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城市安全大数据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养老大数据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4" w:hRule="atLeast"/>
        </w:trPr>
        <w:tc>
          <w:tcPr>
            <w:tcW w:w="219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大数据产品制造 </w:t>
            </w:r>
          </w:p>
        </w:tc>
        <w:tc>
          <w:tcPr>
            <w:tcW w:w="4758" w:type="dxa"/>
            <w:gridSpan w:val="5"/>
            <w:vAlign w:val="center"/>
          </w:tcPr>
          <w:p>
            <w:pP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数据收集硬件设备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数据传输硬件设备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数据存储硬件设备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数据计算硬件设备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数据安全硬件设备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智能化产品研发生产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细分领域及核心技术</w:t>
            </w:r>
          </w:p>
        </w:tc>
        <w:tc>
          <w:tcPr>
            <w:tcW w:w="7250" w:type="dxa"/>
            <w:gridSpan w:val="9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互联网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人工智能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云计算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区块链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物联网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5G通信 </w:t>
            </w:r>
          </w:p>
          <w:p>
            <w:pPr>
              <w:widowControl/>
              <w:snapToGrid w:val="0"/>
              <w:spacing w:line="400" w:lineRule="exact"/>
              <w:rPr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网络和信息安全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量子信息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信创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集成电路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新型显示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软件开发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工业互联网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数字创意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数据采集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数据存储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数据处理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数据分析挖掘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数据应用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</w:trPr>
        <w:tc>
          <w:tcPr>
            <w:tcW w:w="2193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创新平台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国家级创新平台数量（个）</w:t>
            </w:r>
          </w:p>
        </w:tc>
        <w:tc>
          <w:tcPr>
            <w:tcW w:w="4758" w:type="dxa"/>
            <w:gridSpan w:val="5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w w:val="8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省级创新平台数量（个）</w:t>
            </w:r>
          </w:p>
        </w:tc>
        <w:tc>
          <w:tcPr>
            <w:tcW w:w="4758" w:type="dxa"/>
            <w:gridSpan w:val="5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高新企业</w:t>
            </w:r>
          </w:p>
        </w:tc>
        <w:tc>
          <w:tcPr>
            <w:tcW w:w="7250" w:type="dxa"/>
            <w:gridSpan w:val="9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bookmarkStart w:id="0" w:name="_GoBack"/>
            <w:bookmarkEnd w:id="0"/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专精特新企业</w:t>
            </w:r>
          </w:p>
        </w:tc>
        <w:tc>
          <w:tcPr>
            <w:tcW w:w="7250" w:type="dxa"/>
            <w:gridSpan w:val="9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国家级、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省级 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融资阶段（选填）</w:t>
            </w:r>
          </w:p>
        </w:tc>
        <w:tc>
          <w:tcPr>
            <w:tcW w:w="7250" w:type="dxa"/>
            <w:gridSpan w:val="9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未融资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天使轮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A轮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B轮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C轮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D轮 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IPO前融资总额（选填）</w:t>
            </w:r>
          </w:p>
        </w:tc>
        <w:tc>
          <w:tcPr>
            <w:tcW w:w="7250" w:type="dxa"/>
            <w:gridSpan w:val="9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发明专利数量</w:t>
            </w:r>
          </w:p>
        </w:tc>
        <w:tc>
          <w:tcPr>
            <w:tcW w:w="7250" w:type="dxa"/>
            <w:gridSpan w:val="9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软件著作权数量</w:t>
            </w:r>
          </w:p>
        </w:tc>
        <w:tc>
          <w:tcPr>
            <w:tcW w:w="7250" w:type="dxa"/>
            <w:gridSpan w:val="9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注册商标数量</w:t>
            </w:r>
          </w:p>
        </w:tc>
        <w:tc>
          <w:tcPr>
            <w:tcW w:w="7250" w:type="dxa"/>
            <w:gridSpan w:val="9"/>
            <w:vAlign w:val="center"/>
          </w:tcPr>
          <w:p>
            <w:pPr>
              <w:widowControl/>
              <w:snapToGrid w:val="0"/>
              <w:spacing w:line="400" w:lineRule="exact"/>
              <w:rPr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19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参与制定标准数量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地方标准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000000" w:themeColor="text1"/>
                <w:spacing w:val="-6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restar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>近三年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>经营情况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>（万元）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>年度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>营业收入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>数据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>业务收入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>数据业务收入占比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>利润额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>纳税额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</w:rPr>
              <w:t>研发投入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4" w:hRule="atLeast"/>
        </w:trPr>
        <w:tc>
          <w:tcPr>
            <w:tcW w:w="219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企业申请材料（2000字以内）</w:t>
            </w:r>
          </w:p>
        </w:tc>
        <w:tc>
          <w:tcPr>
            <w:tcW w:w="7250" w:type="dxa"/>
            <w:gridSpan w:val="9"/>
          </w:tcPr>
          <w:p>
            <w:pPr>
              <w:spacing w:line="580" w:lineRule="exact"/>
              <w:ind w:firstLine="640" w:firstLineChars="200"/>
              <w:outlineLvl w:val="0"/>
              <w:rPr>
                <w:rFonts w:eastAsia="黑体"/>
                <w:szCs w:val="32"/>
              </w:rPr>
            </w:pPr>
            <w:r>
              <w:rPr>
                <w:rFonts w:hint="eastAsia" w:ascii="方正楷体_GBK" w:hAnsi="黑体" w:eastAsia="方正楷体_GBK"/>
                <w:szCs w:val="32"/>
              </w:rPr>
              <w:t>一、企业简介</w:t>
            </w:r>
          </w:p>
          <w:p>
            <w:pPr>
              <w:spacing w:line="580" w:lineRule="exact"/>
              <w:ind w:firstLine="640" w:firstLineChars="200"/>
              <w:rPr>
                <w:szCs w:val="32"/>
              </w:rPr>
            </w:pPr>
            <w:r>
              <w:rPr>
                <w:rFonts w:hint="eastAsia"/>
              </w:rPr>
              <w:t>简述企业主营业务等基本情况。</w:t>
            </w:r>
          </w:p>
          <w:p>
            <w:pPr>
              <w:spacing w:line="580" w:lineRule="exact"/>
              <w:ind w:firstLine="640" w:firstLineChars="200"/>
              <w:outlineLvl w:val="0"/>
              <w:rPr>
                <w:rFonts w:ascii="方正楷体_GBK" w:hAnsi="黑体" w:eastAsia="方正楷体_GBK"/>
                <w:szCs w:val="32"/>
              </w:rPr>
            </w:pPr>
            <w:r>
              <w:rPr>
                <w:rFonts w:ascii="方正楷体_GBK" w:hAnsi="黑体" w:eastAsia="方正楷体_GBK"/>
                <w:szCs w:val="32"/>
              </w:rPr>
              <w:t>二、企业大数据</w:t>
            </w:r>
            <w:r>
              <w:rPr>
                <w:rFonts w:hint="eastAsia" w:ascii="方正楷体_GBK" w:hAnsi="黑体" w:eastAsia="方正楷体_GBK"/>
                <w:szCs w:val="32"/>
              </w:rPr>
              <w:t>业务及创新</w:t>
            </w:r>
            <w:r>
              <w:rPr>
                <w:rFonts w:ascii="方正楷体_GBK" w:hAnsi="黑体" w:eastAsia="方正楷体_GBK"/>
                <w:szCs w:val="32"/>
              </w:rPr>
              <w:t>情况</w:t>
            </w:r>
          </w:p>
          <w:p>
            <w:pPr>
              <w:spacing w:line="580" w:lineRule="exact"/>
              <w:ind w:firstLine="640" w:firstLineChars="200"/>
              <w:rPr>
                <w:szCs w:val="32"/>
              </w:rPr>
            </w:pPr>
            <w:r>
              <w:rPr>
                <w:rFonts w:hint="eastAsia"/>
                <w:szCs w:val="32"/>
              </w:rPr>
              <w:t>1．</w:t>
            </w:r>
            <w:r>
              <w:rPr>
                <w:szCs w:val="32"/>
              </w:rPr>
              <w:t>企业</w:t>
            </w:r>
            <w:r>
              <w:rPr>
                <w:rFonts w:hint="eastAsia"/>
                <w:szCs w:val="32"/>
              </w:rPr>
              <w:t>主要</w:t>
            </w:r>
            <w:r>
              <w:rPr>
                <w:szCs w:val="32"/>
              </w:rPr>
              <w:t>大数据服务</w:t>
            </w:r>
            <w:r>
              <w:rPr>
                <w:rFonts w:hint="eastAsia"/>
                <w:szCs w:val="32"/>
              </w:rPr>
              <w:t>或</w:t>
            </w:r>
            <w:r>
              <w:rPr>
                <w:szCs w:val="32"/>
              </w:rPr>
              <w:t>产品、应用场景及服务区域、技术先进性、典型案例等；</w:t>
            </w:r>
          </w:p>
          <w:p>
            <w:pPr>
              <w:spacing w:line="580" w:lineRule="exact"/>
              <w:ind w:firstLine="640" w:firstLineChars="200"/>
              <w:rPr>
                <w:szCs w:val="32"/>
              </w:rPr>
            </w:pPr>
            <w:r>
              <w:rPr>
                <w:rFonts w:hint="eastAsia"/>
                <w:szCs w:val="32"/>
              </w:rPr>
              <w:t>2．省级以上创新平台简要情况；</w:t>
            </w:r>
          </w:p>
          <w:p>
            <w:pPr>
              <w:spacing w:line="580" w:lineRule="exact"/>
              <w:ind w:firstLine="640" w:firstLineChars="200"/>
              <w:rPr>
                <w:szCs w:val="32"/>
              </w:rPr>
            </w:pPr>
            <w:r>
              <w:rPr>
                <w:rFonts w:hint="eastAsia"/>
                <w:szCs w:val="32"/>
              </w:rPr>
              <w:t>3．</w:t>
            </w:r>
            <w:r>
              <w:rPr>
                <w:szCs w:val="32"/>
              </w:rPr>
              <w:t>取得的相关知识产权</w:t>
            </w:r>
            <w:r>
              <w:rPr>
                <w:rFonts w:hint="eastAsia"/>
                <w:szCs w:val="32"/>
              </w:rPr>
              <w:t>或成果转化</w:t>
            </w:r>
            <w:r>
              <w:rPr>
                <w:szCs w:val="32"/>
              </w:rPr>
              <w:t>情况</w:t>
            </w:r>
            <w:r>
              <w:rPr>
                <w:rFonts w:hint="eastAsia"/>
                <w:szCs w:val="32"/>
              </w:rPr>
              <w:t>等企业与科研院所、研究机构合作情况；</w:t>
            </w:r>
          </w:p>
          <w:p>
            <w:pPr>
              <w:spacing w:line="580" w:lineRule="exact"/>
              <w:ind w:firstLine="640" w:firstLineChars="200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4．企业研发人员情况。 </w:t>
            </w:r>
          </w:p>
          <w:p>
            <w:pPr>
              <w:spacing w:line="580" w:lineRule="exact"/>
              <w:ind w:firstLine="640" w:firstLineChars="200"/>
              <w:outlineLvl w:val="0"/>
              <w:rPr>
                <w:rFonts w:ascii="方正楷体_GBK" w:hAnsi="黑体" w:eastAsia="方正楷体_GBK"/>
                <w:szCs w:val="32"/>
              </w:rPr>
            </w:pPr>
            <w:r>
              <w:rPr>
                <w:rFonts w:hint="eastAsia" w:ascii="方正楷体_GBK" w:hAnsi="黑体" w:eastAsia="方正楷体_GBK"/>
                <w:szCs w:val="32"/>
              </w:rPr>
              <w:t>三、其他有关情况</w:t>
            </w:r>
          </w:p>
          <w:p>
            <w:pPr>
              <w:ind w:firstLine="640" w:firstLineChars="2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32"/>
              </w:rPr>
              <w:t>取得荣誉、资质、</w:t>
            </w:r>
            <w:r>
              <w:rPr>
                <w:rFonts w:hint="eastAsia" w:eastAsia="方正仿宋_GBK"/>
                <w:szCs w:val="32"/>
              </w:rPr>
              <w:t>核心产品及其市场份额</w:t>
            </w:r>
            <w:r>
              <w:rPr>
                <w:rFonts w:hint="eastAsia"/>
                <w:szCs w:val="32"/>
              </w:rPr>
              <w:t>等情况，如无则不用提供。</w:t>
            </w:r>
          </w:p>
        </w:tc>
      </w:tr>
    </w:tbl>
    <w:p>
      <w:pPr>
        <w:rPr>
          <w:rFonts w:hint="default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szCs w:val="32"/>
          <w:lang w:val="en-US" w:eastAsia="zh-CN"/>
        </w:rPr>
        <w:t>注：此表上传word版至申报系统</w:t>
      </w:r>
    </w:p>
    <w:p>
      <w:pPr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  <w:lang w:eastAsia="zh-CN"/>
        </w:rPr>
        <w:t>证明</w:t>
      </w:r>
      <w:r>
        <w:rPr>
          <w:rFonts w:hint="eastAsia" w:ascii="方正小标宋简体" w:eastAsia="方正小标宋简体"/>
          <w:color w:val="000000"/>
          <w:sz w:val="44"/>
        </w:rPr>
        <w:t>材料清单</w:t>
      </w:r>
    </w:p>
    <w:tbl>
      <w:tblPr>
        <w:tblStyle w:val="7"/>
        <w:tblpPr w:leftFromText="180" w:rightFromText="180" w:vertAnchor="text" w:horzAnchor="page" w:tblpXSpec="center" w:tblpY="580"/>
        <w:tblOverlap w:val="never"/>
        <w:tblW w:w="946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897"/>
        <w:gridCol w:w="3000"/>
        <w:gridCol w:w="2530"/>
        <w:gridCol w:w="14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序号</w:t>
            </w:r>
          </w:p>
        </w:tc>
        <w:tc>
          <w:tcPr>
            <w:tcW w:w="18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0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sz w:val="24"/>
                <w:szCs w:val="24"/>
              </w:rPr>
              <w:t>材料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5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sz w:val="24"/>
                <w:szCs w:val="24"/>
              </w:rPr>
              <w:t>材料说明</w:t>
            </w:r>
          </w:p>
        </w:tc>
        <w:tc>
          <w:tcPr>
            <w:tcW w:w="14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格式要求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</w:rPr>
              <w:t>1</w:t>
            </w:r>
          </w:p>
        </w:tc>
        <w:tc>
          <w:tcPr>
            <w:tcW w:w="189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企业基本信息</w:t>
            </w:r>
          </w:p>
        </w:tc>
        <w:tc>
          <w:tcPr>
            <w:tcW w:w="30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sz w:val="24"/>
                <w:szCs w:val="24"/>
              </w:rPr>
              <w:t>企业营业执照</w:t>
            </w:r>
          </w:p>
        </w:tc>
        <w:tc>
          <w:tcPr>
            <w:tcW w:w="25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PDF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2</w:t>
            </w:r>
          </w:p>
        </w:tc>
        <w:tc>
          <w:tcPr>
            <w:tcW w:w="18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sz w:val="24"/>
                <w:szCs w:val="24"/>
              </w:rPr>
              <w:t>不动产权证或房屋租赁合同</w:t>
            </w:r>
          </w:p>
        </w:tc>
        <w:tc>
          <w:tcPr>
            <w:tcW w:w="25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sz w:val="24"/>
                <w:szCs w:val="24"/>
              </w:rPr>
              <w:t>与营业执照注册地不一致的需做说明</w:t>
            </w:r>
          </w:p>
        </w:tc>
        <w:tc>
          <w:tcPr>
            <w:tcW w:w="14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PDF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9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企业上一年度大数据业务收入证明材料</w:t>
            </w:r>
          </w:p>
        </w:tc>
        <w:tc>
          <w:tcPr>
            <w:tcW w:w="30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企业上一个会计年度增值税纳税申报表和企业所得税纳税申报表</w:t>
            </w:r>
          </w:p>
        </w:tc>
        <w:tc>
          <w:tcPr>
            <w:tcW w:w="25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需</w:t>
            </w:r>
            <w:r>
              <w:rPr>
                <w:rFonts w:eastAsia="方正仿宋_GBK"/>
                <w:sz w:val="24"/>
                <w:szCs w:val="24"/>
              </w:rPr>
              <w:t>加盖税务局业务受理章</w:t>
            </w:r>
          </w:p>
        </w:tc>
        <w:tc>
          <w:tcPr>
            <w:tcW w:w="14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PDF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企业上一会计年度经会计事务所或审计部门审计的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财务</w:t>
            </w:r>
            <w:r>
              <w:rPr>
                <w:rFonts w:eastAsia="方正仿宋_GBK"/>
                <w:sz w:val="24"/>
                <w:szCs w:val="24"/>
              </w:rPr>
              <w:t>报表</w:t>
            </w:r>
          </w:p>
        </w:tc>
        <w:tc>
          <w:tcPr>
            <w:tcW w:w="25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可用年度</w:t>
            </w:r>
            <w:r>
              <w:rPr>
                <w:rFonts w:eastAsia="方正仿宋_GBK"/>
                <w:sz w:val="24"/>
                <w:szCs w:val="24"/>
              </w:rPr>
              <w:t>资产负债表、利润表和现金流量表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代替</w:t>
            </w:r>
          </w:p>
        </w:tc>
        <w:tc>
          <w:tcPr>
            <w:tcW w:w="14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PDF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eastAsia="方正仿宋_GBK"/>
                <w:sz w:val="24"/>
                <w:szCs w:val="24"/>
              </w:rPr>
              <w:t>企业上一会计年度经会计事务所或审计部门审计的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大数据业务收入专项审计报告</w:t>
            </w:r>
          </w:p>
        </w:tc>
        <w:tc>
          <w:tcPr>
            <w:tcW w:w="25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需含大数据业务收入明细表</w:t>
            </w:r>
          </w:p>
        </w:tc>
        <w:tc>
          <w:tcPr>
            <w:tcW w:w="14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PDF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与材料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5对应的合同及发票</w:t>
            </w:r>
          </w:p>
        </w:tc>
        <w:tc>
          <w:tcPr>
            <w:tcW w:w="25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需按材料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5中明细表顺序排列</w:t>
            </w:r>
          </w:p>
        </w:tc>
        <w:tc>
          <w:tcPr>
            <w:tcW w:w="14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PDF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9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其他证明材料</w:t>
            </w:r>
          </w:p>
        </w:tc>
        <w:tc>
          <w:tcPr>
            <w:tcW w:w="30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信用证明</w:t>
            </w:r>
          </w:p>
        </w:tc>
        <w:tc>
          <w:tcPr>
            <w:tcW w:w="25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信用中国或信用安徽、信用合肥查询截图</w:t>
            </w:r>
          </w:p>
        </w:tc>
        <w:tc>
          <w:tcPr>
            <w:tcW w:w="14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PDF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知识产权证明</w:t>
            </w:r>
          </w:p>
        </w:tc>
        <w:tc>
          <w:tcPr>
            <w:tcW w:w="25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企业知识产权（包括发明专利、软件著作权、注册商标等）证明材料</w:t>
            </w:r>
          </w:p>
        </w:tc>
        <w:tc>
          <w:tcPr>
            <w:tcW w:w="14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PDF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重要奖项证明材料</w:t>
            </w:r>
          </w:p>
        </w:tc>
        <w:tc>
          <w:tcPr>
            <w:tcW w:w="25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获得国家或者安徽省科学技术奖项证明材料</w:t>
            </w:r>
          </w:p>
        </w:tc>
        <w:tc>
          <w:tcPr>
            <w:tcW w:w="14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PDF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申报单位认为有必要说明或提供的其他材料</w:t>
            </w:r>
          </w:p>
        </w:tc>
        <w:tc>
          <w:tcPr>
            <w:tcW w:w="25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PDF</w:t>
            </w:r>
          </w:p>
        </w:tc>
      </w:tr>
    </w:tbl>
    <w:p>
      <w:pPr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  <w:lang w:eastAsia="zh-CN"/>
        </w:rPr>
      </w:pPr>
    </w:p>
    <w:p>
      <w:pPr>
        <w:widowControl/>
        <w:spacing w:line="580" w:lineRule="exact"/>
        <w:jc w:val="left"/>
        <w:rPr>
          <w:rFonts w:hAnsi="黑体" w:eastAsia="黑体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恅隋苤梓冼潠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0178573"/>
    </w:sdtPr>
    <w:sdtEndPr>
      <w:rPr>
        <w:rFonts w:ascii="仿宋" w:hAnsi="仿宋" w:eastAsia="仿宋"/>
      </w:rPr>
    </w:sdtEndPr>
    <w:sdtContent>
      <w:p>
        <w:pPr>
          <w:pStyle w:val="4"/>
          <w:jc w:val="center"/>
        </w:pPr>
        <w:r>
          <w:rPr>
            <w:rFonts w:hint="eastAsia" w:ascii="仿宋" w:hAnsi="仿宋" w:eastAsia="仿宋"/>
            <w:sz w:val="28"/>
          </w:rPr>
          <w:t>－</w:t>
        </w:r>
        <w:r>
          <w:rPr>
            <w:rFonts w:ascii="仿宋" w:hAnsi="仿宋" w:eastAsia="仿宋"/>
            <w:sz w:val="28"/>
          </w:rPr>
          <w:fldChar w:fldCharType="begin"/>
        </w:r>
        <w:r>
          <w:rPr>
            <w:rFonts w:ascii="仿宋" w:hAnsi="仿宋" w:eastAsia="仿宋"/>
            <w:sz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</w:rPr>
          <w:fldChar w:fldCharType="separate"/>
        </w:r>
        <w:r>
          <w:rPr>
            <w:rFonts w:ascii="仿宋" w:hAnsi="仿宋" w:eastAsia="仿宋"/>
            <w:sz w:val="28"/>
            <w:lang w:val="zh-CN"/>
          </w:rPr>
          <w:t>3</w:t>
        </w:r>
        <w:r>
          <w:rPr>
            <w:rFonts w:ascii="仿宋" w:hAnsi="仿宋" w:eastAsia="仿宋"/>
            <w:sz w:val="28"/>
          </w:rPr>
          <w:fldChar w:fldCharType="end"/>
        </w:r>
        <w:r>
          <w:rPr>
            <w:rFonts w:hint="eastAsia" w:ascii="仿宋" w:hAnsi="仿宋" w:eastAsia="仿宋"/>
            <w:sz w:val="28"/>
          </w:rPr>
          <w:t>－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0178573"/>
    </w:sdtPr>
    <w:sdtEndPr>
      <w:rPr>
        <w:rFonts w:ascii="仿宋" w:hAnsi="仿宋" w:eastAsia="仿宋"/>
      </w:rPr>
    </w:sdtEndPr>
    <w:sdtContent>
      <w:p>
        <w:pPr>
          <w:pStyle w:val="4"/>
          <w:jc w:val="center"/>
        </w:pPr>
        <w:r>
          <w:rPr>
            <w:rFonts w:hint="eastAsia" w:ascii="仿宋" w:hAnsi="仿宋" w:eastAsia="仿宋"/>
            <w:sz w:val="28"/>
          </w:rPr>
          <w:t>－</w:t>
        </w:r>
        <w:r>
          <w:rPr>
            <w:rFonts w:ascii="仿宋" w:hAnsi="仿宋" w:eastAsia="仿宋"/>
            <w:sz w:val="28"/>
          </w:rPr>
          <w:fldChar w:fldCharType="begin"/>
        </w:r>
        <w:r>
          <w:rPr>
            <w:rFonts w:ascii="仿宋" w:hAnsi="仿宋" w:eastAsia="仿宋"/>
            <w:sz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</w:rPr>
          <w:fldChar w:fldCharType="separate"/>
        </w:r>
        <w:r>
          <w:rPr>
            <w:rFonts w:ascii="仿宋" w:hAnsi="仿宋" w:eastAsia="仿宋"/>
            <w:sz w:val="28"/>
            <w:lang w:val="zh-CN"/>
          </w:rPr>
          <w:t>3</w:t>
        </w:r>
        <w:r>
          <w:rPr>
            <w:rFonts w:ascii="仿宋" w:hAnsi="仿宋" w:eastAsia="仿宋"/>
            <w:sz w:val="28"/>
          </w:rPr>
          <w:fldChar w:fldCharType="end"/>
        </w:r>
        <w:r>
          <w:rPr>
            <w:rFonts w:hint="eastAsia" w:ascii="仿宋" w:hAnsi="仿宋" w:eastAsia="仿宋"/>
            <w:sz w:val="28"/>
          </w:rPr>
          <w:t>－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CFA02"/>
    <w:multiLevelType w:val="singleLevel"/>
    <w:tmpl w:val="EE5CFA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B3"/>
    <w:rsid w:val="00002F72"/>
    <w:rsid w:val="00021CBA"/>
    <w:rsid w:val="00022C0B"/>
    <w:rsid w:val="00043301"/>
    <w:rsid w:val="00054427"/>
    <w:rsid w:val="00055E4A"/>
    <w:rsid w:val="00064EB4"/>
    <w:rsid w:val="00085DDD"/>
    <w:rsid w:val="000B24C5"/>
    <w:rsid w:val="000B7A35"/>
    <w:rsid w:val="000C75BB"/>
    <w:rsid w:val="000D734A"/>
    <w:rsid w:val="000D7848"/>
    <w:rsid w:val="0012007A"/>
    <w:rsid w:val="0013150B"/>
    <w:rsid w:val="00180771"/>
    <w:rsid w:val="001846ED"/>
    <w:rsid w:val="00185EC2"/>
    <w:rsid w:val="001B4B48"/>
    <w:rsid w:val="001C7224"/>
    <w:rsid w:val="001E04D4"/>
    <w:rsid w:val="001E5ABC"/>
    <w:rsid w:val="00203E1B"/>
    <w:rsid w:val="002147A0"/>
    <w:rsid w:val="0021772C"/>
    <w:rsid w:val="00220511"/>
    <w:rsid w:val="00225A9A"/>
    <w:rsid w:val="002445D3"/>
    <w:rsid w:val="00281F3A"/>
    <w:rsid w:val="00285AED"/>
    <w:rsid w:val="002C40B1"/>
    <w:rsid w:val="002C4D7F"/>
    <w:rsid w:val="002D27D1"/>
    <w:rsid w:val="002F208E"/>
    <w:rsid w:val="002F4AE6"/>
    <w:rsid w:val="0031650C"/>
    <w:rsid w:val="00356888"/>
    <w:rsid w:val="00360337"/>
    <w:rsid w:val="00367CB4"/>
    <w:rsid w:val="0037059F"/>
    <w:rsid w:val="00381E00"/>
    <w:rsid w:val="00386F25"/>
    <w:rsid w:val="00396DCD"/>
    <w:rsid w:val="003A6C20"/>
    <w:rsid w:val="003B4E22"/>
    <w:rsid w:val="003B6334"/>
    <w:rsid w:val="003D05A8"/>
    <w:rsid w:val="003D136E"/>
    <w:rsid w:val="003E1C96"/>
    <w:rsid w:val="0040178C"/>
    <w:rsid w:val="00410D73"/>
    <w:rsid w:val="00420A0A"/>
    <w:rsid w:val="00435E91"/>
    <w:rsid w:val="00437D81"/>
    <w:rsid w:val="00466558"/>
    <w:rsid w:val="00470D67"/>
    <w:rsid w:val="0047771C"/>
    <w:rsid w:val="0048468B"/>
    <w:rsid w:val="00486B88"/>
    <w:rsid w:val="00490673"/>
    <w:rsid w:val="00493AD3"/>
    <w:rsid w:val="004A2194"/>
    <w:rsid w:val="004A6725"/>
    <w:rsid w:val="004A785E"/>
    <w:rsid w:val="004C239D"/>
    <w:rsid w:val="004C53E5"/>
    <w:rsid w:val="004E10FF"/>
    <w:rsid w:val="004E3D93"/>
    <w:rsid w:val="00503F18"/>
    <w:rsid w:val="00521AF0"/>
    <w:rsid w:val="00531DF6"/>
    <w:rsid w:val="005340FC"/>
    <w:rsid w:val="00545E1A"/>
    <w:rsid w:val="005558C9"/>
    <w:rsid w:val="00556E34"/>
    <w:rsid w:val="00566BA5"/>
    <w:rsid w:val="005839CC"/>
    <w:rsid w:val="0058788C"/>
    <w:rsid w:val="005B20B8"/>
    <w:rsid w:val="005E454D"/>
    <w:rsid w:val="005F296A"/>
    <w:rsid w:val="005F3C73"/>
    <w:rsid w:val="006055DE"/>
    <w:rsid w:val="00610199"/>
    <w:rsid w:val="006228D1"/>
    <w:rsid w:val="00635009"/>
    <w:rsid w:val="00641BCB"/>
    <w:rsid w:val="00644FFE"/>
    <w:rsid w:val="00647926"/>
    <w:rsid w:val="00654B78"/>
    <w:rsid w:val="006609B7"/>
    <w:rsid w:val="00666AAC"/>
    <w:rsid w:val="00671944"/>
    <w:rsid w:val="00680E48"/>
    <w:rsid w:val="00685251"/>
    <w:rsid w:val="00694C2E"/>
    <w:rsid w:val="006B1F75"/>
    <w:rsid w:val="006B2F3D"/>
    <w:rsid w:val="006D6571"/>
    <w:rsid w:val="00702F85"/>
    <w:rsid w:val="00704CEC"/>
    <w:rsid w:val="007078EA"/>
    <w:rsid w:val="0072170B"/>
    <w:rsid w:val="00760835"/>
    <w:rsid w:val="00762B00"/>
    <w:rsid w:val="00776DE7"/>
    <w:rsid w:val="007C62B4"/>
    <w:rsid w:val="007E283E"/>
    <w:rsid w:val="00814014"/>
    <w:rsid w:val="008246CF"/>
    <w:rsid w:val="008514F2"/>
    <w:rsid w:val="00864F58"/>
    <w:rsid w:val="00867280"/>
    <w:rsid w:val="0087645F"/>
    <w:rsid w:val="00890024"/>
    <w:rsid w:val="008A6037"/>
    <w:rsid w:val="008C0347"/>
    <w:rsid w:val="008C20AB"/>
    <w:rsid w:val="008C33FF"/>
    <w:rsid w:val="008D50ED"/>
    <w:rsid w:val="008E602E"/>
    <w:rsid w:val="008F17C9"/>
    <w:rsid w:val="00901C64"/>
    <w:rsid w:val="00901F50"/>
    <w:rsid w:val="00905101"/>
    <w:rsid w:val="0095042E"/>
    <w:rsid w:val="0098338E"/>
    <w:rsid w:val="00983728"/>
    <w:rsid w:val="00995EF0"/>
    <w:rsid w:val="009A38F1"/>
    <w:rsid w:val="009B442D"/>
    <w:rsid w:val="009D3A45"/>
    <w:rsid w:val="009D58AC"/>
    <w:rsid w:val="009E3D5E"/>
    <w:rsid w:val="009F2E31"/>
    <w:rsid w:val="009F5CFD"/>
    <w:rsid w:val="009F66F2"/>
    <w:rsid w:val="00A044FB"/>
    <w:rsid w:val="00A16DB8"/>
    <w:rsid w:val="00A30893"/>
    <w:rsid w:val="00A67FA3"/>
    <w:rsid w:val="00A72DC0"/>
    <w:rsid w:val="00A744D1"/>
    <w:rsid w:val="00A80FE1"/>
    <w:rsid w:val="00A94425"/>
    <w:rsid w:val="00AA7720"/>
    <w:rsid w:val="00AA7ACC"/>
    <w:rsid w:val="00AB3119"/>
    <w:rsid w:val="00AB62E3"/>
    <w:rsid w:val="00AC20E7"/>
    <w:rsid w:val="00AC4D98"/>
    <w:rsid w:val="00AC58C2"/>
    <w:rsid w:val="00AF3850"/>
    <w:rsid w:val="00B05FA2"/>
    <w:rsid w:val="00B16805"/>
    <w:rsid w:val="00B23C70"/>
    <w:rsid w:val="00B24DA0"/>
    <w:rsid w:val="00B563EB"/>
    <w:rsid w:val="00B71112"/>
    <w:rsid w:val="00B815B6"/>
    <w:rsid w:val="00B869B7"/>
    <w:rsid w:val="00B90864"/>
    <w:rsid w:val="00BD2DAE"/>
    <w:rsid w:val="00BD7FEB"/>
    <w:rsid w:val="00BE3861"/>
    <w:rsid w:val="00C015F9"/>
    <w:rsid w:val="00C0771A"/>
    <w:rsid w:val="00C10DD3"/>
    <w:rsid w:val="00C2308B"/>
    <w:rsid w:val="00C35287"/>
    <w:rsid w:val="00C45A45"/>
    <w:rsid w:val="00C541F8"/>
    <w:rsid w:val="00C71124"/>
    <w:rsid w:val="00CA2D9B"/>
    <w:rsid w:val="00CB46B3"/>
    <w:rsid w:val="00CC31F4"/>
    <w:rsid w:val="00CE1366"/>
    <w:rsid w:val="00CE1E35"/>
    <w:rsid w:val="00CF5E76"/>
    <w:rsid w:val="00D0462A"/>
    <w:rsid w:val="00D10D72"/>
    <w:rsid w:val="00D301BF"/>
    <w:rsid w:val="00D47134"/>
    <w:rsid w:val="00D5426E"/>
    <w:rsid w:val="00D73046"/>
    <w:rsid w:val="00D760B2"/>
    <w:rsid w:val="00D82FC0"/>
    <w:rsid w:val="00DC1C0C"/>
    <w:rsid w:val="00DF104B"/>
    <w:rsid w:val="00E13867"/>
    <w:rsid w:val="00E13D9A"/>
    <w:rsid w:val="00E37CFA"/>
    <w:rsid w:val="00E45BB7"/>
    <w:rsid w:val="00E7276D"/>
    <w:rsid w:val="00E7481B"/>
    <w:rsid w:val="00E961CD"/>
    <w:rsid w:val="00EB03E8"/>
    <w:rsid w:val="00EC2F7A"/>
    <w:rsid w:val="00EC3DD5"/>
    <w:rsid w:val="00ED00E5"/>
    <w:rsid w:val="00EE2E43"/>
    <w:rsid w:val="00EE41AE"/>
    <w:rsid w:val="00EF24B0"/>
    <w:rsid w:val="00EF52C2"/>
    <w:rsid w:val="00F36E30"/>
    <w:rsid w:val="00F672AC"/>
    <w:rsid w:val="00F964A7"/>
    <w:rsid w:val="00FB5909"/>
    <w:rsid w:val="00FC0982"/>
    <w:rsid w:val="00FC5A37"/>
    <w:rsid w:val="06F331C2"/>
    <w:rsid w:val="0BEEA3E2"/>
    <w:rsid w:val="19B24A84"/>
    <w:rsid w:val="1B65CBFD"/>
    <w:rsid w:val="1CFD84F1"/>
    <w:rsid w:val="26D31F90"/>
    <w:rsid w:val="29DFEF46"/>
    <w:rsid w:val="2B9B18FE"/>
    <w:rsid w:val="2B9D664F"/>
    <w:rsid w:val="2F4B9C89"/>
    <w:rsid w:val="2F6B95CD"/>
    <w:rsid w:val="37F7BBFC"/>
    <w:rsid w:val="37FF5008"/>
    <w:rsid w:val="3DBF3401"/>
    <w:rsid w:val="3EBF0C00"/>
    <w:rsid w:val="3EDFE480"/>
    <w:rsid w:val="3F36DA2C"/>
    <w:rsid w:val="3F470904"/>
    <w:rsid w:val="3FBFFE54"/>
    <w:rsid w:val="3FDFCA9A"/>
    <w:rsid w:val="3FEF4920"/>
    <w:rsid w:val="3FFB82C1"/>
    <w:rsid w:val="3FFF9A24"/>
    <w:rsid w:val="4BBF5324"/>
    <w:rsid w:val="4F6B2494"/>
    <w:rsid w:val="51DFA79A"/>
    <w:rsid w:val="55F2AF96"/>
    <w:rsid w:val="56CFEBB7"/>
    <w:rsid w:val="56FE53F7"/>
    <w:rsid w:val="5ADCAD39"/>
    <w:rsid w:val="5B9E8DDB"/>
    <w:rsid w:val="5BFE2814"/>
    <w:rsid w:val="5D5E768F"/>
    <w:rsid w:val="5D6FD4C7"/>
    <w:rsid w:val="5DDA9571"/>
    <w:rsid w:val="5E4FE41F"/>
    <w:rsid w:val="5E9D7F7F"/>
    <w:rsid w:val="5EFFD8FC"/>
    <w:rsid w:val="5FDE3816"/>
    <w:rsid w:val="5FE3492A"/>
    <w:rsid w:val="5FEF2EED"/>
    <w:rsid w:val="625DAC36"/>
    <w:rsid w:val="64AE7CC6"/>
    <w:rsid w:val="64FF862F"/>
    <w:rsid w:val="665F95C0"/>
    <w:rsid w:val="676B0192"/>
    <w:rsid w:val="6BB7A8A5"/>
    <w:rsid w:val="6BCA5B5E"/>
    <w:rsid w:val="6DDD1C3B"/>
    <w:rsid w:val="6EBF05E6"/>
    <w:rsid w:val="6ED75023"/>
    <w:rsid w:val="6EED2766"/>
    <w:rsid w:val="6F71E111"/>
    <w:rsid w:val="6F779224"/>
    <w:rsid w:val="6FBD965F"/>
    <w:rsid w:val="6FE4D47E"/>
    <w:rsid w:val="6FF74E62"/>
    <w:rsid w:val="70F7FA59"/>
    <w:rsid w:val="7343B655"/>
    <w:rsid w:val="73EF26E7"/>
    <w:rsid w:val="74AFD583"/>
    <w:rsid w:val="75F76DD1"/>
    <w:rsid w:val="767F3536"/>
    <w:rsid w:val="76BD8F45"/>
    <w:rsid w:val="76FFB599"/>
    <w:rsid w:val="77989808"/>
    <w:rsid w:val="77BFD5DB"/>
    <w:rsid w:val="77E5ECE2"/>
    <w:rsid w:val="77EB39B3"/>
    <w:rsid w:val="77FF288A"/>
    <w:rsid w:val="796C8786"/>
    <w:rsid w:val="7A4FC9AE"/>
    <w:rsid w:val="7AB1C72E"/>
    <w:rsid w:val="7BFF097B"/>
    <w:rsid w:val="7C3F1403"/>
    <w:rsid w:val="7C7F1E98"/>
    <w:rsid w:val="7D3F5470"/>
    <w:rsid w:val="7D9F0F7A"/>
    <w:rsid w:val="7DBCD36A"/>
    <w:rsid w:val="7DD7DD95"/>
    <w:rsid w:val="7DDD898B"/>
    <w:rsid w:val="7DEE6726"/>
    <w:rsid w:val="7DF15FFF"/>
    <w:rsid w:val="7DF55CE8"/>
    <w:rsid w:val="7E35C68F"/>
    <w:rsid w:val="7E6FD3B8"/>
    <w:rsid w:val="7E7F949B"/>
    <w:rsid w:val="7EAF5E14"/>
    <w:rsid w:val="7EF9F92D"/>
    <w:rsid w:val="7F7188A7"/>
    <w:rsid w:val="7F7F9972"/>
    <w:rsid w:val="7F7F9CC2"/>
    <w:rsid w:val="7F938F81"/>
    <w:rsid w:val="7FB752F4"/>
    <w:rsid w:val="7FBC7A81"/>
    <w:rsid w:val="7FD53143"/>
    <w:rsid w:val="7FDB6E42"/>
    <w:rsid w:val="7FDBD8E2"/>
    <w:rsid w:val="7FDF035B"/>
    <w:rsid w:val="7FEF68CD"/>
    <w:rsid w:val="7FEF71A0"/>
    <w:rsid w:val="7FFB0917"/>
    <w:rsid w:val="7FFD0211"/>
    <w:rsid w:val="7FFFD6D7"/>
    <w:rsid w:val="97FF95E5"/>
    <w:rsid w:val="9D76BA0A"/>
    <w:rsid w:val="9DB7C9B2"/>
    <w:rsid w:val="9E8CCC42"/>
    <w:rsid w:val="9FAD664F"/>
    <w:rsid w:val="A3B2E37F"/>
    <w:rsid w:val="A58FB636"/>
    <w:rsid w:val="A7BE678C"/>
    <w:rsid w:val="ABED5B3E"/>
    <w:rsid w:val="AF9BBF81"/>
    <w:rsid w:val="AFF0B376"/>
    <w:rsid w:val="B33E563B"/>
    <w:rsid w:val="B3EC7A89"/>
    <w:rsid w:val="B5DF5322"/>
    <w:rsid w:val="B7EFD25A"/>
    <w:rsid w:val="B7FF5B88"/>
    <w:rsid w:val="BBE23134"/>
    <w:rsid w:val="BBEE1775"/>
    <w:rsid w:val="BBFEBFD0"/>
    <w:rsid w:val="BD23D7A8"/>
    <w:rsid w:val="BDBF5D53"/>
    <w:rsid w:val="BDFF2E1C"/>
    <w:rsid w:val="BF7A28DA"/>
    <w:rsid w:val="BFC3D841"/>
    <w:rsid w:val="BFF79AB0"/>
    <w:rsid w:val="BFFC2135"/>
    <w:rsid w:val="CDFEE766"/>
    <w:rsid w:val="CF7E8B21"/>
    <w:rsid w:val="D2AFD9DA"/>
    <w:rsid w:val="D7C7D5C2"/>
    <w:rsid w:val="DCFF994F"/>
    <w:rsid w:val="DD7D5F41"/>
    <w:rsid w:val="DDCB3107"/>
    <w:rsid w:val="DE6D2F66"/>
    <w:rsid w:val="DFBBBC58"/>
    <w:rsid w:val="DFF7BFC4"/>
    <w:rsid w:val="DFFDA89B"/>
    <w:rsid w:val="E3F98432"/>
    <w:rsid w:val="E73F44D9"/>
    <w:rsid w:val="EBFBC7DA"/>
    <w:rsid w:val="EBFD8154"/>
    <w:rsid w:val="ED1FACDA"/>
    <w:rsid w:val="ED7F8E01"/>
    <w:rsid w:val="EDF5599C"/>
    <w:rsid w:val="EED42530"/>
    <w:rsid w:val="EFC78BC6"/>
    <w:rsid w:val="EFDFE2EB"/>
    <w:rsid w:val="EFEFEF5D"/>
    <w:rsid w:val="EFF31EDC"/>
    <w:rsid w:val="EFFC14A7"/>
    <w:rsid w:val="EFFFFFB4"/>
    <w:rsid w:val="F1FFF684"/>
    <w:rsid w:val="F3DD3841"/>
    <w:rsid w:val="F3FF7F97"/>
    <w:rsid w:val="F4F97272"/>
    <w:rsid w:val="F5BE463D"/>
    <w:rsid w:val="F6EF5406"/>
    <w:rsid w:val="F73D1ACA"/>
    <w:rsid w:val="F7F19FEE"/>
    <w:rsid w:val="F7FF5F5A"/>
    <w:rsid w:val="FBBBAB7F"/>
    <w:rsid w:val="FBCF1492"/>
    <w:rsid w:val="FBED0E89"/>
    <w:rsid w:val="FBF7FCB2"/>
    <w:rsid w:val="FBFE4253"/>
    <w:rsid w:val="FC6F9DE0"/>
    <w:rsid w:val="FD9F66BE"/>
    <w:rsid w:val="FDF63846"/>
    <w:rsid w:val="FDFDF036"/>
    <w:rsid w:val="FDFE0C45"/>
    <w:rsid w:val="FE3B807D"/>
    <w:rsid w:val="FEDD07D5"/>
    <w:rsid w:val="FEFB8D75"/>
    <w:rsid w:val="FF6F4FBF"/>
    <w:rsid w:val="FF7F387C"/>
    <w:rsid w:val="FF7FF7A8"/>
    <w:rsid w:val="FFBC8F2C"/>
    <w:rsid w:val="FFBE17AE"/>
    <w:rsid w:val="FFDA69DD"/>
    <w:rsid w:val="FFDD40AC"/>
    <w:rsid w:val="FFFDDE38"/>
    <w:rsid w:val="FFFFB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 w:val="0"/>
      <w:snapToGrid w:val="0"/>
      <w:spacing w:after="120" w:line="360" w:lineRule="auto"/>
      <w:ind w:firstLine="640" w:firstLineChars="200"/>
    </w:pPr>
    <w:rPr>
      <w:rFonts w:ascii="仿宋_GB2312"/>
      <w:spacing w:val="-4"/>
      <w:szCs w:val="3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No Spacing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szCs w:val="22"/>
      <w:lang w:val="en-US" w:eastAsia="zh-CN" w:bidi="ar-SA"/>
    </w:rPr>
  </w:style>
  <w:style w:type="character" w:customStyle="1" w:styleId="13">
    <w:name w:val="正文文本 字符"/>
    <w:basedOn w:val="8"/>
    <w:link w:val="2"/>
    <w:qFormat/>
    <w:uiPriority w:val="0"/>
    <w:rPr>
      <w:rFonts w:ascii="仿宋_GB2312" w:hAnsi="Times New Roman" w:eastAsia="仿宋_GB2312" w:cs="Times New Roman"/>
      <w:spacing w:val="-4"/>
      <w:sz w:val="32"/>
      <w:szCs w:val="3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eastAsia="仿宋_GB2312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363</Words>
  <Characters>2070</Characters>
  <Lines>17</Lines>
  <Paragraphs>4</Paragraphs>
  <TotalTime>1</TotalTime>
  <ScaleCrop>false</ScaleCrop>
  <LinksUpToDate>false</LinksUpToDate>
  <CharactersWithSpaces>2429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2022-07-10T21:35:00Z</dcterms:created>
  <dc:creator>李志新</dc:creator>
  <cp:lastModifiedBy>uos</cp:lastModifiedBy>
  <cp:lastPrinted>2022-03-12T23:25:00Z</cp:lastPrinted>
  <dcterms:modified xsi:type="dcterms:W3CDTF">2022-07-11T09:09:56Z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