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附件7：</w:t>
      </w:r>
    </w:p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申请表填报提示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“所属行业”，对照《国民经济行业分类</w:t>
      </w:r>
      <w:r>
        <w:rPr>
          <w:rFonts w:ascii="仿宋_GB2312" w:hAnsi="黑体" w:eastAsia="仿宋_GB2312"/>
          <w:sz w:val="32"/>
          <w:szCs w:val="32"/>
        </w:rPr>
        <w:t>(GB/T 4754-2017)</w:t>
      </w:r>
      <w:r>
        <w:rPr>
          <w:rFonts w:hint="eastAsia" w:ascii="仿宋_GB2312" w:hAnsi="黑体" w:eastAsia="仿宋_GB2312"/>
          <w:sz w:val="32"/>
          <w:szCs w:val="32"/>
        </w:rPr>
        <w:t>》中“大类”进行填写。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2.</w:t>
      </w:r>
      <w:r>
        <w:rPr>
          <w:rFonts w:hint="eastAsia" w:ascii="仿宋_GB2312" w:hAnsi="黑体" w:eastAsia="仿宋_GB2312"/>
          <w:sz w:val="32"/>
          <w:szCs w:val="32"/>
        </w:rPr>
        <w:t>“拥有知识产权数”，根据申报主体拥有的发明专利、实用新型专利、外观设计专利、集成电路布图设计权、软件著作权、注册商标、作品登记证书、植物新品种等的合计数量。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“带动就业人数”，根据申报主体参保证明或银行工资发放记录填报。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“研发费用”，参照《高新技术企业认定管理工作指引》要求进行研发费用归集，主要包括人员人工费用、直接投入费用、折旧费用与长期待摊费用、无形资产摊销费用、设计费用、装备调试费用与试验费用、委托外部研究开发费用和其他费用。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附件1“项目信息”根据申报主体上一年度数据填报，提供上一年度及本年度的财务报表、研发费用明细表、参保证明或银行工资发放记录等证明材料并加盖公章。</w:t>
      </w:r>
      <w:bookmarkStart w:id="0" w:name="_GoBack"/>
      <w:bookmarkEnd w:id="0"/>
    </w:p>
    <w:p/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8181B"/>
    <w:rsid w:val="63C8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2022-05-18T07:37:00Z</dcterms:created>
  <dc:creator>WPS_125317896</dc:creator>
  <cp:lastModifiedBy>WPS_125317896</cp:lastModifiedBy>
  <dcterms:modified xsi:type="dcterms:W3CDTF">2022-05-18T07:38:14Z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